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</w:rPr>
      </w:pPr>
      <w:bookmarkStart w:colFirst="0" w:colLast="0" w:name="_heading=h.updhiyh7v8pc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Critical Information Summary: Twilio Phone Numbers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Pay-as-you-go Phone Numbers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3165"/>
        <w:gridCol w:w="5835"/>
        <w:tblGridChange w:id="0">
          <w:tblGrid>
            <w:gridCol w:w="480"/>
            <w:gridCol w:w="3165"/>
            <w:gridCol w:w="5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Types of Phone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8-digit 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hone numbers with geographic prefixes that are instantly provisioned via Twilio console or number provisioning API.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Mobile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10-digit phone numbers with mobile prefixes, validated as spam‑free with a 120‑day seven‑point inspection.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Toll-Free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0-digit phone numbers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starting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with the 1800 prefix that allows your customers to call you toll-free from anywhere in Australia.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Charges for Local, Mobile and Toll-Free numbers are based on monthly pricing.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Usage page in Twilio Console allows customers to review their Twilio account usage and spend history. Twilio Console Usage page information is available at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Getting started with the Twilio Console Usage page - Twilio Help Center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rtl w:val="0"/>
        </w:rPr>
        <w:t xml:space="preserve">ricing information is available on our website at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SMS Pricing in Australia for Text Messaging | Twilio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 (for SMS) and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Programmable Voice Pricing in Australia | Twilio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(for Voice).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Prices may change from time to time without notice. You are advised to check the prevailing rates at the website.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Numbers are subject to certain requirements available at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Services Using Phone Numbers | Twilio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Australian Phone Numbers are also subject to guidelines and country-specific terms available at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Australia: Regulatory Guidelines | Twilio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and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Australian Phone Numbers | Twilio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information is available at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Phone Numbers | Twilio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Payments to Twilio will be via credit card or for customers who qualify for invoicing, then by inward bank transfer on invoices issued by Twilio.  </w:t>
      </w:r>
    </w:p>
    <w:p w:rsidR="00000000" w:rsidDel="00000000" w:rsidP="00000000" w:rsidRDefault="00000000" w:rsidRPr="00000000" w14:paraId="0000001A">
      <w:pP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rFonts w:ascii="Arial" w:cs="Arial" w:eastAsia="Arial" w:hAnsi="Arial"/>
          <w:sz w:val="28"/>
          <w:szCs w:val="28"/>
        </w:rPr>
      </w:pPr>
      <w:bookmarkStart w:colFirst="0" w:colLast="0" w:name="_heading=h.htvhta73aeue" w:id="1"/>
      <w:bookmarkEnd w:id="1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 you need further support? Twilio can help</w:t>
      </w:r>
    </w:p>
    <w:p w:rsidR="00000000" w:rsidDel="00000000" w:rsidP="00000000" w:rsidRDefault="00000000" w:rsidRPr="00000000" w14:paraId="0000001C">
      <w:pPr>
        <w:shd w:fill="ffffff" w:val="clear"/>
        <w:spacing w:after="120" w:line="240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Visit 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Help Center</w:t>
        </w:r>
      </w:hyperlink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for our support options. Call </w:t>
      </w:r>
      <w:r w:rsidDel="00000000" w:rsidR="00000000" w:rsidRPr="00000000">
        <w:rPr>
          <w:rFonts w:ascii="Arial" w:cs="Arial" w:eastAsia="Arial" w:hAnsi="Arial"/>
          <w:color w:val="172b4d"/>
          <w:highlight w:val="white"/>
          <w:rtl w:val="0"/>
        </w:rPr>
        <w:t xml:space="preserve">+61 7 4519 4014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to speak to someone about your plan or to obtain a copy of this Critical Information Summary in an alternative /accessible format.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A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A3EC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A3EC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A3EC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A3EC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A3EC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A3EC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A3EC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A3EC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A3EC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A3EC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A3EC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CA3EC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A3EC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A3EC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A3EC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A3EC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A3EC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A3EC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A3EC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A3EC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A3EC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A3EC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A3EC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A3EC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A3EC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A3EC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A3EC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3EC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A3EC7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CA3E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CA3E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A3EC7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wilio.com/en-us/guidelines/au/regulatory" TargetMode="External"/><Relationship Id="rId10" Type="http://schemas.openxmlformats.org/officeDocument/2006/relationships/hyperlink" Target="https://www.twilio.com/en-us/legal/service-country-specific-terms/phone-numbers" TargetMode="External"/><Relationship Id="rId13" Type="http://schemas.openxmlformats.org/officeDocument/2006/relationships/hyperlink" Target="https://www.twilio.com/docs/phone-numbers" TargetMode="External"/><Relationship Id="rId12" Type="http://schemas.openxmlformats.org/officeDocument/2006/relationships/hyperlink" Target="https://www.twilio.com/en-us/legal/service-country-specific-terms/au-phone-number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wilio.com/en-us/voice/pricing/au" TargetMode="External"/><Relationship Id="rId14" Type="http://schemas.openxmlformats.org/officeDocument/2006/relationships/hyperlink" Target="https://help.twilio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elp.twilio.com/articles/360039439773" TargetMode="External"/><Relationship Id="rId8" Type="http://schemas.openxmlformats.org/officeDocument/2006/relationships/hyperlink" Target="https://www.twilio.com/en-us/sms/pricing/a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Vw9skfrsz74SeP49S2E/YYp5g==">CgMxLjAyDmgudXBkaGl5aDd2OHBjMg5oLmh0dmh0YTczYWV1ZTgAaiAKFHN1Z2dlc3QuN3VuN3Q2Z201bDA0Eghab2V5IExhdXIhMVN5N1Y3Tm5ieWs0WThYUUlaRm5Kem1La2VNZkxPbFl0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2024-03-01T04:59:00Z</dcterms:created>
  <dc:creator>Natasha Slater</dc:creator>
</cp:coreProperties>
</file>