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671C" w14:textId="332B4E5B" w:rsidR="003732F3" w:rsidRDefault="00DA0F81" w:rsidP="00A071ED">
      <w:pPr>
        <w:spacing w:after="0"/>
        <w:jc w:val="both"/>
        <w:rPr>
          <w:rFonts w:ascii="Humnst777 Lt BT" w:hAnsi="Humnst777 Lt BT"/>
          <w:b/>
          <w:color w:val="2E74B5" w:themeColor="accent1" w:themeShade="BF"/>
          <w:sz w:val="28"/>
          <w:szCs w:val="28"/>
        </w:rPr>
      </w:pPr>
      <w:r w:rsidRPr="007B2685">
        <w:rPr>
          <w:rFonts w:ascii="Humnst777 Lt BT" w:hAnsi="Humnst777 Lt BT"/>
          <w:b/>
          <w:color w:val="2E74B5" w:themeColor="accent1" w:themeShade="BF"/>
          <w:sz w:val="28"/>
          <w:szCs w:val="28"/>
        </w:rPr>
        <w:t>Delegated Authority</w:t>
      </w:r>
      <w:r w:rsidR="003732F3" w:rsidRPr="007B2685">
        <w:rPr>
          <w:rFonts w:ascii="Humnst777 Lt BT" w:hAnsi="Humnst777 Lt BT"/>
          <w:b/>
          <w:color w:val="2E74B5" w:themeColor="accent1" w:themeShade="BF"/>
          <w:sz w:val="28"/>
          <w:szCs w:val="28"/>
        </w:rPr>
        <w:t xml:space="preserve"> Letter </w:t>
      </w:r>
      <w:r w:rsidR="007B2685">
        <w:rPr>
          <w:rFonts w:ascii="Humnst777 Lt BT" w:hAnsi="Humnst777 Lt BT"/>
          <w:b/>
          <w:color w:val="2E74B5" w:themeColor="accent1" w:themeShade="BF"/>
          <w:sz w:val="28"/>
          <w:szCs w:val="28"/>
        </w:rPr>
        <w:t xml:space="preserve">– </w:t>
      </w:r>
      <w:r w:rsidR="00F82284">
        <w:rPr>
          <w:rFonts w:ascii="Humnst777 Lt BT" w:hAnsi="Humnst777 Lt BT"/>
          <w:b/>
          <w:color w:val="2E74B5" w:themeColor="accent1" w:themeShade="BF"/>
          <w:sz w:val="28"/>
          <w:szCs w:val="28"/>
        </w:rPr>
        <w:t>[</w:t>
      </w:r>
      <w:r w:rsidR="00560722">
        <w:rPr>
          <w:rFonts w:ascii="Humnst777 Lt BT" w:hAnsi="Humnst777 Lt BT"/>
          <w:b/>
          <w:color w:val="2E74B5" w:themeColor="accent1" w:themeShade="BF"/>
          <w:sz w:val="28"/>
          <w:szCs w:val="28"/>
        </w:rPr>
        <w:t>DEPARTMENT NAME</w:t>
      </w:r>
      <w:r w:rsidR="00F82284">
        <w:rPr>
          <w:rFonts w:ascii="Humnst777 Lt BT" w:hAnsi="Humnst777 Lt BT"/>
          <w:b/>
          <w:color w:val="2E74B5" w:themeColor="accent1" w:themeShade="BF"/>
          <w:sz w:val="28"/>
          <w:szCs w:val="28"/>
        </w:rPr>
        <w:t>]</w:t>
      </w:r>
    </w:p>
    <w:p w14:paraId="5DE36A46" w14:textId="77777777" w:rsidR="008A6568" w:rsidRPr="007B2685" w:rsidRDefault="008A6568" w:rsidP="0052131B">
      <w:pPr>
        <w:spacing w:after="0"/>
        <w:jc w:val="both"/>
        <w:rPr>
          <w:rFonts w:ascii="Humnst777 Lt BT" w:hAnsi="Humnst777 Lt BT"/>
          <w:b/>
          <w:color w:val="2E74B5" w:themeColor="accent1" w:themeShade="BF"/>
          <w:sz w:val="28"/>
          <w:szCs w:val="28"/>
        </w:rPr>
      </w:pPr>
    </w:p>
    <w:p w14:paraId="7870D5BE" w14:textId="47FC59BC" w:rsidR="007B2685" w:rsidRDefault="007B2685" w:rsidP="00A071ED">
      <w:pPr>
        <w:spacing w:after="0"/>
        <w:jc w:val="both"/>
        <w:rPr>
          <w:rFonts w:ascii="Humnst777 Lt BT" w:hAnsi="Humnst777 Lt BT"/>
          <w:sz w:val="24"/>
          <w:szCs w:val="24"/>
        </w:rPr>
      </w:pPr>
      <w:r>
        <w:rPr>
          <w:rFonts w:ascii="Humnst777 Lt BT" w:hAnsi="Humnst777 Lt BT"/>
          <w:sz w:val="24"/>
          <w:szCs w:val="24"/>
        </w:rPr>
        <w:t>Dear</w:t>
      </w:r>
      <w:r w:rsidR="00FE09FA">
        <w:rPr>
          <w:rFonts w:ascii="Humnst777 Lt BT" w:hAnsi="Humnst777 Lt BT"/>
          <w:sz w:val="24"/>
          <w:szCs w:val="24"/>
        </w:rPr>
        <w:t xml:space="preserve"> </w:t>
      </w:r>
      <w:r w:rsidR="008D6E5A" w:rsidRPr="0052131B">
        <w:rPr>
          <w:rFonts w:ascii="Humnst777 Lt BT" w:hAnsi="Humnst777 Lt BT"/>
          <w:b/>
          <w:color w:val="2E74B5" w:themeColor="accent1" w:themeShade="BF"/>
          <w:sz w:val="24"/>
          <w:szCs w:val="24"/>
        </w:rPr>
        <w:t>[</w:t>
      </w:r>
      <w:r w:rsidR="008D6E5A">
        <w:rPr>
          <w:rFonts w:ascii="Humnst777 Lt BT" w:hAnsi="Humnst777 Lt BT"/>
          <w:b/>
          <w:color w:val="2E74B5" w:themeColor="accent1" w:themeShade="BF"/>
          <w:sz w:val="24"/>
          <w:szCs w:val="24"/>
        </w:rPr>
        <w:t xml:space="preserve">Name of PAO] </w:t>
      </w:r>
      <w:r w:rsidR="00F82284">
        <w:rPr>
          <w:rFonts w:ascii="Humnst777 Lt BT" w:hAnsi="Humnst777 Lt BT"/>
          <w:sz w:val="24"/>
          <w:szCs w:val="24"/>
        </w:rPr>
        <w:t xml:space="preserve"> </w:t>
      </w:r>
    </w:p>
    <w:p w14:paraId="1BC4E3D2" w14:textId="77777777" w:rsidR="008A6568" w:rsidRDefault="008A6568" w:rsidP="0052131B">
      <w:pPr>
        <w:spacing w:after="0"/>
        <w:jc w:val="both"/>
        <w:rPr>
          <w:rFonts w:ascii="Humnst777 Lt BT" w:hAnsi="Humnst777 Lt BT"/>
          <w:sz w:val="24"/>
          <w:szCs w:val="24"/>
        </w:rPr>
      </w:pPr>
    </w:p>
    <w:p w14:paraId="6B64A443" w14:textId="017E2A51" w:rsidR="003732F3" w:rsidRDefault="003732F3" w:rsidP="00A071ED">
      <w:pPr>
        <w:spacing w:after="0"/>
        <w:jc w:val="both"/>
        <w:rPr>
          <w:rFonts w:ascii="Humnst777 Lt BT" w:hAnsi="Humnst777 Lt BT"/>
          <w:sz w:val="24"/>
          <w:szCs w:val="24"/>
        </w:rPr>
      </w:pPr>
      <w:r w:rsidRPr="51E589A5">
        <w:rPr>
          <w:rFonts w:ascii="Humnst777 Lt BT" w:hAnsi="Humnst777 Lt BT"/>
          <w:sz w:val="24"/>
          <w:szCs w:val="24"/>
        </w:rPr>
        <w:t>I am writing to set out</w:t>
      </w:r>
      <w:r w:rsidR="00AC56B1" w:rsidRPr="51E589A5">
        <w:rPr>
          <w:rFonts w:ascii="Humnst777 Lt BT" w:hAnsi="Humnst777 Lt BT"/>
          <w:sz w:val="24"/>
          <w:szCs w:val="24"/>
        </w:rPr>
        <w:t xml:space="preserve"> the </w:t>
      </w:r>
      <w:r w:rsidR="00F82284" w:rsidRPr="0052131B">
        <w:rPr>
          <w:rFonts w:ascii="Humnst777 Lt BT" w:hAnsi="Humnst777 Lt BT"/>
          <w:b/>
          <w:color w:val="2E74B5" w:themeColor="accent1" w:themeShade="BF"/>
          <w:sz w:val="24"/>
          <w:szCs w:val="24"/>
        </w:rPr>
        <w:t>[Department name]</w:t>
      </w:r>
      <w:r w:rsidR="00F82284" w:rsidRPr="002838EE">
        <w:rPr>
          <w:rFonts w:ascii="Humnst777 Lt BT" w:hAnsi="Humnst777 Lt BT"/>
          <w:b/>
          <w:color w:val="2E74B5" w:themeColor="accent1" w:themeShade="BF"/>
          <w:sz w:val="24"/>
          <w:szCs w:val="24"/>
        </w:rPr>
        <w:t xml:space="preserve">’s </w:t>
      </w:r>
      <w:r w:rsidR="009B6B93" w:rsidRPr="008F4313">
        <w:rPr>
          <w:rFonts w:ascii="Humnst777 Lt BT" w:hAnsi="Humnst777 Lt BT"/>
          <w:bCs/>
          <w:sz w:val="24"/>
          <w:szCs w:val="24"/>
        </w:rPr>
        <w:t>updated</w:t>
      </w:r>
      <w:r w:rsidR="009B6B93" w:rsidRPr="008F4313">
        <w:rPr>
          <w:rFonts w:ascii="Humnst777 Lt BT" w:hAnsi="Humnst777 Lt BT"/>
          <w:b/>
          <w:sz w:val="24"/>
          <w:szCs w:val="24"/>
        </w:rPr>
        <w:t xml:space="preserve"> </w:t>
      </w:r>
      <w:r w:rsidRPr="002838EE">
        <w:rPr>
          <w:rFonts w:ascii="Humnst777 Lt BT" w:hAnsi="Humnst777 Lt BT"/>
          <w:sz w:val="24"/>
          <w:szCs w:val="24"/>
        </w:rPr>
        <w:t>delegated</w:t>
      </w:r>
      <w:r w:rsidRPr="51E589A5">
        <w:rPr>
          <w:rFonts w:ascii="Humnst777 Lt BT" w:hAnsi="Humnst777 Lt BT"/>
          <w:sz w:val="24"/>
          <w:szCs w:val="24"/>
        </w:rPr>
        <w:t xml:space="preserve"> spending authorities</w:t>
      </w:r>
      <w:r w:rsidR="00CE68E9" w:rsidRPr="51E589A5">
        <w:rPr>
          <w:rFonts w:ascii="Humnst777 Lt BT" w:hAnsi="Humnst777 Lt BT"/>
          <w:sz w:val="24"/>
          <w:szCs w:val="24"/>
        </w:rPr>
        <w:t xml:space="preserve">. </w:t>
      </w:r>
      <w:r w:rsidRPr="51E589A5">
        <w:rPr>
          <w:rFonts w:ascii="Humnst777 Lt BT" w:hAnsi="Humnst777 Lt BT"/>
          <w:sz w:val="24"/>
          <w:szCs w:val="24"/>
        </w:rPr>
        <w:t>This supersedes all previous communication on delegated authorities, and includes the arrangements for approving:</w:t>
      </w:r>
    </w:p>
    <w:p w14:paraId="0EFE884B" w14:textId="77777777" w:rsidR="003732F3" w:rsidRPr="007B2685" w:rsidRDefault="003732F3" w:rsidP="0052131B">
      <w:pPr>
        <w:pStyle w:val="ListParagraph"/>
        <w:numPr>
          <w:ilvl w:val="0"/>
          <w:numId w:val="9"/>
        </w:numPr>
        <w:spacing w:after="0"/>
        <w:jc w:val="both"/>
        <w:rPr>
          <w:rFonts w:ascii="Humnst777 Lt BT" w:hAnsi="Humnst777 Lt BT"/>
          <w:sz w:val="24"/>
          <w:szCs w:val="24"/>
        </w:rPr>
      </w:pPr>
      <w:r w:rsidRPr="007B2685">
        <w:rPr>
          <w:rFonts w:ascii="Humnst777 Lt BT" w:hAnsi="Humnst777 Lt BT"/>
          <w:sz w:val="24"/>
          <w:szCs w:val="24"/>
        </w:rPr>
        <w:t xml:space="preserve">new policy proposals and </w:t>
      </w:r>
      <w:proofErr w:type="gramStart"/>
      <w:r w:rsidRPr="007B2685">
        <w:rPr>
          <w:rFonts w:ascii="Humnst777 Lt BT" w:hAnsi="Humnst777 Lt BT"/>
          <w:sz w:val="24"/>
          <w:szCs w:val="24"/>
        </w:rPr>
        <w:t>announcements;</w:t>
      </w:r>
      <w:proofErr w:type="gramEnd"/>
    </w:p>
    <w:p w14:paraId="55BF52BA" w14:textId="77777777" w:rsidR="003732F3" w:rsidRPr="007B2685" w:rsidRDefault="003732F3" w:rsidP="0052131B">
      <w:pPr>
        <w:pStyle w:val="ListParagraph"/>
        <w:numPr>
          <w:ilvl w:val="0"/>
          <w:numId w:val="9"/>
        </w:numPr>
        <w:spacing w:after="0"/>
        <w:jc w:val="both"/>
        <w:rPr>
          <w:rFonts w:ascii="Humnst777 Lt BT" w:hAnsi="Humnst777 Lt BT"/>
          <w:sz w:val="24"/>
          <w:szCs w:val="24"/>
        </w:rPr>
      </w:pPr>
      <w:r w:rsidRPr="007B2685">
        <w:rPr>
          <w:rFonts w:ascii="Humnst777 Lt BT" w:hAnsi="Humnst777 Lt BT"/>
          <w:sz w:val="24"/>
          <w:szCs w:val="24"/>
        </w:rPr>
        <w:t xml:space="preserve">projects and programmes; </w:t>
      </w:r>
      <w:r w:rsidR="00806250" w:rsidRPr="007B2685">
        <w:rPr>
          <w:rFonts w:ascii="Humnst777 Lt BT" w:hAnsi="Humnst777 Lt BT"/>
          <w:sz w:val="24"/>
          <w:szCs w:val="24"/>
        </w:rPr>
        <w:t>and</w:t>
      </w:r>
    </w:p>
    <w:p w14:paraId="27D58D3A" w14:textId="54183DE5" w:rsidR="003732F3" w:rsidRDefault="00CE68E9" w:rsidP="00A071ED">
      <w:pPr>
        <w:pStyle w:val="ListParagraph"/>
        <w:numPr>
          <w:ilvl w:val="0"/>
          <w:numId w:val="9"/>
        </w:numPr>
        <w:spacing w:after="0"/>
        <w:jc w:val="both"/>
        <w:rPr>
          <w:rFonts w:ascii="Humnst777 Lt BT" w:hAnsi="Humnst777 Lt BT"/>
          <w:sz w:val="24"/>
          <w:szCs w:val="24"/>
        </w:rPr>
      </w:pPr>
      <w:r w:rsidRPr="0A30EEF4">
        <w:rPr>
          <w:rFonts w:ascii="Humnst777 Lt BT" w:hAnsi="Humnst777 Lt BT"/>
          <w:sz w:val="24"/>
          <w:szCs w:val="24"/>
        </w:rPr>
        <w:t xml:space="preserve">internal </w:t>
      </w:r>
      <w:r w:rsidR="006A0680">
        <w:rPr>
          <w:rFonts w:ascii="Humnst777 Lt BT" w:hAnsi="Humnst777 Lt BT"/>
          <w:sz w:val="24"/>
          <w:szCs w:val="24"/>
        </w:rPr>
        <w:t>deleg</w:t>
      </w:r>
      <w:r w:rsidR="00E470DA">
        <w:rPr>
          <w:rFonts w:ascii="Humnst777 Lt BT" w:hAnsi="Humnst777 Lt BT"/>
          <w:sz w:val="24"/>
          <w:szCs w:val="24"/>
        </w:rPr>
        <w:t>ations</w:t>
      </w:r>
      <w:r w:rsidR="00806250" w:rsidRPr="0A30EEF4">
        <w:rPr>
          <w:rFonts w:ascii="Humnst777 Lt BT" w:hAnsi="Humnst777 Lt BT"/>
          <w:sz w:val="24"/>
          <w:szCs w:val="24"/>
        </w:rPr>
        <w:t xml:space="preserve"> </w:t>
      </w:r>
    </w:p>
    <w:p w14:paraId="4697B3E0" w14:textId="77777777" w:rsidR="008A6568" w:rsidRPr="007B2685" w:rsidRDefault="008A6568" w:rsidP="0052131B">
      <w:pPr>
        <w:pStyle w:val="ListParagraph"/>
        <w:spacing w:after="0"/>
        <w:jc w:val="both"/>
        <w:rPr>
          <w:rFonts w:ascii="Humnst777 Lt BT" w:hAnsi="Humnst777 Lt BT"/>
          <w:sz w:val="24"/>
          <w:szCs w:val="24"/>
        </w:rPr>
      </w:pPr>
    </w:p>
    <w:p w14:paraId="44DC6EFE" w14:textId="78D1CC9B" w:rsidR="0A30EEF4" w:rsidRDefault="0056306E" w:rsidP="00A071ED">
      <w:pPr>
        <w:spacing w:after="0"/>
        <w:jc w:val="both"/>
        <w:rPr>
          <w:rFonts w:ascii="Humnst777 Lt BT" w:hAnsi="Humnst777 Lt BT"/>
          <w:sz w:val="24"/>
          <w:szCs w:val="24"/>
        </w:rPr>
      </w:pPr>
      <w:r>
        <w:rPr>
          <w:rFonts w:ascii="Humnst777 Lt BT" w:hAnsi="Humnst777 Lt BT"/>
          <w:sz w:val="24"/>
          <w:szCs w:val="24"/>
        </w:rPr>
        <w:t xml:space="preserve">HM </w:t>
      </w:r>
      <w:r w:rsidR="00281556" w:rsidRPr="00716417">
        <w:rPr>
          <w:rFonts w:ascii="Humnst777 Lt BT" w:hAnsi="Humnst777 Lt BT"/>
          <w:sz w:val="24"/>
          <w:szCs w:val="24"/>
        </w:rPr>
        <w:t xml:space="preserve">Treasury approval for expenditure is one aspect of the </w:t>
      </w:r>
      <w:r w:rsidR="00B42107" w:rsidRPr="00716417">
        <w:rPr>
          <w:rFonts w:ascii="Humnst777 Lt BT" w:hAnsi="Humnst777 Lt BT"/>
          <w:sz w:val="24"/>
          <w:szCs w:val="24"/>
        </w:rPr>
        <w:t>c</w:t>
      </w:r>
      <w:r w:rsidR="00281556" w:rsidRPr="00716417">
        <w:rPr>
          <w:rFonts w:ascii="Humnst777 Lt BT" w:hAnsi="Humnst777 Lt BT"/>
          <w:sz w:val="24"/>
          <w:szCs w:val="24"/>
        </w:rPr>
        <w:t xml:space="preserve">onvention </w:t>
      </w:r>
      <w:r w:rsidR="00DE1E58">
        <w:rPr>
          <w:rFonts w:ascii="Humnst777 Lt BT" w:hAnsi="Humnst777 Lt BT"/>
          <w:sz w:val="24"/>
          <w:szCs w:val="24"/>
        </w:rPr>
        <w:t>whereby</w:t>
      </w:r>
      <w:r w:rsidR="00281556" w:rsidRPr="00716417">
        <w:rPr>
          <w:rFonts w:ascii="Humnst777 Lt BT" w:hAnsi="Humnst777 Lt BT"/>
          <w:sz w:val="24"/>
          <w:szCs w:val="24"/>
        </w:rPr>
        <w:t xml:space="preserve"> </w:t>
      </w:r>
      <w:r w:rsidR="005F178F">
        <w:rPr>
          <w:rFonts w:ascii="Humnst777 Lt BT" w:hAnsi="Humnst777 Lt BT"/>
          <w:sz w:val="24"/>
          <w:szCs w:val="24"/>
        </w:rPr>
        <w:t>the</w:t>
      </w:r>
      <w:r w:rsidR="005F178F" w:rsidRPr="00716417">
        <w:rPr>
          <w:rFonts w:ascii="Humnst777 Lt BT" w:hAnsi="Humnst777 Lt BT"/>
          <w:sz w:val="24"/>
          <w:szCs w:val="24"/>
        </w:rPr>
        <w:t xml:space="preserve"> </w:t>
      </w:r>
      <w:r w:rsidR="00281556" w:rsidRPr="00716417">
        <w:rPr>
          <w:rFonts w:ascii="Humnst777 Lt BT" w:hAnsi="Humnst777 Lt BT"/>
          <w:sz w:val="24"/>
          <w:szCs w:val="24"/>
        </w:rPr>
        <w:t>Treasury control</w:t>
      </w:r>
      <w:r w:rsidR="00DE1E58">
        <w:rPr>
          <w:rFonts w:ascii="Humnst777 Lt BT" w:hAnsi="Humnst777 Lt BT"/>
          <w:sz w:val="24"/>
          <w:szCs w:val="24"/>
        </w:rPr>
        <w:t>s</w:t>
      </w:r>
      <w:r w:rsidR="00281556" w:rsidRPr="00716417">
        <w:rPr>
          <w:rFonts w:ascii="Humnst777 Lt BT" w:hAnsi="Humnst777 Lt BT"/>
          <w:sz w:val="24"/>
          <w:szCs w:val="24"/>
        </w:rPr>
        <w:t xml:space="preserve"> all other departments in matters of finance and public expenditure</w:t>
      </w:r>
      <w:r w:rsidR="00DE1E58">
        <w:rPr>
          <w:rFonts w:ascii="Humnst777 Lt BT" w:hAnsi="Humnst777 Lt BT"/>
          <w:sz w:val="24"/>
          <w:szCs w:val="24"/>
        </w:rPr>
        <w:t xml:space="preserve"> on behalf of Parliament</w:t>
      </w:r>
      <w:r w:rsidR="00D6363E" w:rsidRPr="00716417">
        <w:rPr>
          <w:rFonts w:ascii="Humnst777 Lt BT" w:hAnsi="Humnst777 Lt BT"/>
          <w:sz w:val="24"/>
          <w:szCs w:val="24"/>
        </w:rPr>
        <w:t xml:space="preserve">. Formally, Treasury consent is required for all expenditure or resource commitments. In practice, </w:t>
      </w:r>
      <w:r w:rsidR="00D407B8">
        <w:rPr>
          <w:rFonts w:ascii="Humnst777 Lt BT" w:hAnsi="Humnst777 Lt BT"/>
          <w:sz w:val="24"/>
          <w:szCs w:val="24"/>
        </w:rPr>
        <w:t>the</w:t>
      </w:r>
      <w:r w:rsidR="00D407B8" w:rsidRPr="00716417">
        <w:rPr>
          <w:rFonts w:ascii="Humnst777 Lt BT" w:hAnsi="Humnst777 Lt BT"/>
          <w:sz w:val="24"/>
          <w:szCs w:val="24"/>
        </w:rPr>
        <w:t xml:space="preserve"> </w:t>
      </w:r>
      <w:r w:rsidR="00D6363E" w:rsidRPr="00716417">
        <w:rPr>
          <w:rFonts w:ascii="Humnst777 Lt BT" w:hAnsi="Humnst777 Lt BT"/>
          <w:sz w:val="24"/>
          <w:szCs w:val="24"/>
        </w:rPr>
        <w:t xml:space="preserve">Treasury delegates to departments </w:t>
      </w:r>
      <w:r w:rsidR="00DE1E58">
        <w:rPr>
          <w:rFonts w:ascii="Humnst777 Lt BT" w:hAnsi="Humnst777 Lt BT"/>
          <w:sz w:val="24"/>
          <w:szCs w:val="24"/>
        </w:rPr>
        <w:t xml:space="preserve">the </w:t>
      </w:r>
      <w:r w:rsidR="00D6363E" w:rsidRPr="00716417">
        <w:rPr>
          <w:rFonts w:ascii="Humnst777 Lt BT" w:hAnsi="Humnst777 Lt BT"/>
          <w:sz w:val="24"/>
          <w:szCs w:val="24"/>
        </w:rPr>
        <w:t xml:space="preserve">authority to enter into commitments and to spend within predefined limits without specific prior approval from </w:t>
      </w:r>
      <w:r w:rsidR="00D407B8">
        <w:rPr>
          <w:rFonts w:ascii="Humnst777 Lt BT" w:hAnsi="Humnst777 Lt BT"/>
          <w:sz w:val="24"/>
          <w:szCs w:val="24"/>
        </w:rPr>
        <w:t xml:space="preserve">the </w:t>
      </w:r>
      <w:r w:rsidR="00D6363E" w:rsidRPr="00716417">
        <w:rPr>
          <w:rFonts w:ascii="Humnst777 Lt BT" w:hAnsi="Humnst777 Lt BT"/>
          <w:sz w:val="24"/>
          <w:szCs w:val="24"/>
        </w:rPr>
        <w:t xml:space="preserve">Treasury </w:t>
      </w:r>
      <w:r w:rsidR="00083472" w:rsidRPr="00716417">
        <w:rPr>
          <w:rFonts w:ascii="Humnst777 Lt BT" w:hAnsi="Humnst777 Lt BT"/>
          <w:sz w:val="24"/>
          <w:szCs w:val="24"/>
        </w:rPr>
        <w:t>(</w:t>
      </w:r>
      <w:r w:rsidR="00AA244B" w:rsidRPr="00716417">
        <w:rPr>
          <w:rFonts w:ascii="Humnst777 Lt BT" w:hAnsi="Humnst777 Lt BT"/>
          <w:sz w:val="24"/>
          <w:szCs w:val="24"/>
        </w:rPr>
        <w:t>with certain exceptions</w:t>
      </w:r>
      <w:r w:rsidR="00083472" w:rsidRPr="00716417">
        <w:rPr>
          <w:rFonts w:ascii="Humnst777 Lt BT" w:hAnsi="Humnst777 Lt BT"/>
          <w:sz w:val="24"/>
          <w:szCs w:val="24"/>
        </w:rPr>
        <w:t>)</w:t>
      </w:r>
      <w:r w:rsidR="00D6363E" w:rsidRPr="00716417">
        <w:rPr>
          <w:rFonts w:ascii="Humnst777 Lt BT" w:hAnsi="Humnst777 Lt BT"/>
          <w:sz w:val="24"/>
          <w:szCs w:val="24"/>
        </w:rPr>
        <w:t xml:space="preserve">. Such delegated authorities strike a balance between </w:t>
      </w:r>
      <w:r w:rsidR="00D407B8">
        <w:rPr>
          <w:rFonts w:ascii="Humnst777 Lt BT" w:hAnsi="Humnst777 Lt BT"/>
          <w:sz w:val="24"/>
          <w:szCs w:val="24"/>
        </w:rPr>
        <w:t>the</w:t>
      </w:r>
      <w:r w:rsidR="00D407B8" w:rsidRPr="00716417">
        <w:rPr>
          <w:rFonts w:ascii="Humnst777 Lt BT" w:hAnsi="Humnst777 Lt BT"/>
          <w:sz w:val="24"/>
          <w:szCs w:val="24"/>
        </w:rPr>
        <w:t xml:space="preserve"> </w:t>
      </w:r>
      <w:r w:rsidR="00D6363E" w:rsidRPr="00716417">
        <w:rPr>
          <w:rFonts w:ascii="Humnst777 Lt BT" w:hAnsi="Humnst777 Lt BT"/>
          <w:sz w:val="24"/>
          <w:szCs w:val="24"/>
        </w:rPr>
        <w:t>Treasury's need for control in order to fulfil its responsibilities to Parliament and the department's freedom to manage within its agreed budget limits and Parliamentary provision.</w:t>
      </w:r>
      <w:r w:rsidR="004825BD" w:rsidRPr="00716417">
        <w:rPr>
          <w:rFonts w:ascii="Humnst777 Lt BT" w:hAnsi="Humnst777 Lt BT"/>
          <w:sz w:val="24"/>
          <w:szCs w:val="24"/>
        </w:rPr>
        <w:t xml:space="preserve"> Annex 2.2 of </w:t>
      </w:r>
      <w:r w:rsidR="004825BD" w:rsidRPr="00716417">
        <w:rPr>
          <w:rFonts w:ascii="Humnst777 Lt BT" w:hAnsi="Humnst777 Lt BT"/>
          <w:i/>
          <w:iCs/>
          <w:sz w:val="24"/>
          <w:szCs w:val="24"/>
        </w:rPr>
        <w:t xml:space="preserve">Managing Public Money </w:t>
      </w:r>
      <w:r w:rsidR="004825BD" w:rsidRPr="00716417">
        <w:rPr>
          <w:rFonts w:ascii="Humnst777 Lt BT" w:hAnsi="Humnst777 Lt BT"/>
          <w:sz w:val="24"/>
          <w:szCs w:val="24"/>
        </w:rPr>
        <w:t>sets this out in further detail.</w:t>
      </w:r>
    </w:p>
    <w:p w14:paraId="579ADF36" w14:textId="77777777" w:rsidR="008A6568" w:rsidRPr="00F75A47" w:rsidRDefault="008A6568" w:rsidP="00716417">
      <w:pPr>
        <w:spacing w:after="0"/>
        <w:jc w:val="both"/>
        <w:rPr>
          <w:rFonts w:ascii="Humnst777 Lt BT" w:hAnsi="Humnst777 Lt BT"/>
          <w:sz w:val="24"/>
          <w:szCs w:val="24"/>
        </w:rPr>
      </w:pPr>
    </w:p>
    <w:p w14:paraId="6B720BC2" w14:textId="2F3AEA2C" w:rsidR="003732F3" w:rsidRDefault="003732F3" w:rsidP="00A071ED">
      <w:pPr>
        <w:spacing w:after="0"/>
        <w:jc w:val="both"/>
        <w:rPr>
          <w:rFonts w:ascii="Humnst777 Lt BT" w:hAnsi="Humnst777 Lt BT"/>
          <w:sz w:val="24"/>
          <w:szCs w:val="24"/>
        </w:rPr>
      </w:pPr>
      <w:r w:rsidRPr="3643AA53">
        <w:rPr>
          <w:rFonts w:ascii="Humnst777 Lt BT" w:hAnsi="Humnst777 Lt BT"/>
          <w:sz w:val="24"/>
          <w:szCs w:val="24"/>
        </w:rPr>
        <w:t xml:space="preserve">The delegated authorities set out in this letter give </w:t>
      </w:r>
      <w:r w:rsidR="00CE68E9" w:rsidRPr="3643AA53">
        <w:rPr>
          <w:rFonts w:ascii="Humnst777 Lt BT" w:hAnsi="Humnst777 Lt BT"/>
          <w:sz w:val="24"/>
          <w:szCs w:val="24"/>
        </w:rPr>
        <w:t xml:space="preserve">the </w:t>
      </w:r>
      <w:r w:rsidR="00F82284" w:rsidRPr="00A1513E">
        <w:rPr>
          <w:rFonts w:ascii="Humnst777 Lt BT" w:hAnsi="Humnst777 Lt BT"/>
          <w:b/>
          <w:color w:val="2E74B5" w:themeColor="accent1" w:themeShade="BF"/>
          <w:sz w:val="24"/>
          <w:szCs w:val="24"/>
        </w:rPr>
        <w:t>[Department name]</w:t>
      </w:r>
      <w:r w:rsidR="00F82284">
        <w:rPr>
          <w:rFonts w:ascii="Humnst777 Lt BT" w:hAnsi="Humnst777 Lt BT"/>
          <w:b/>
          <w:color w:val="2E74B5" w:themeColor="accent1" w:themeShade="BF"/>
          <w:sz w:val="24"/>
          <w:szCs w:val="24"/>
        </w:rPr>
        <w:t xml:space="preserve"> </w:t>
      </w:r>
      <w:r w:rsidRPr="3643AA53">
        <w:rPr>
          <w:rFonts w:ascii="Humnst777 Lt BT" w:hAnsi="Humnst777 Lt BT"/>
          <w:sz w:val="24"/>
          <w:szCs w:val="24"/>
        </w:rPr>
        <w:t xml:space="preserve">standing authorisation to commit resources or incur expenditure without specific prior approval from </w:t>
      </w:r>
      <w:r w:rsidR="00366E4B">
        <w:rPr>
          <w:rFonts w:ascii="Humnst777 Lt BT" w:hAnsi="Humnst777 Lt BT"/>
          <w:sz w:val="24"/>
          <w:szCs w:val="24"/>
        </w:rPr>
        <w:t>the</w:t>
      </w:r>
      <w:r w:rsidR="00366E4B" w:rsidRPr="3643AA53">
        <w:rPr>
          <w:rFonts w:ascii="Humnst777 Lt BT" w:hAnsi="Humnst777 Lt BT"/>
          <w:sz w:val="24"/>
          <w:szCs w:val="24"/>
        </w:rPr>
        <w:t xml:space="preserve"> </w:t>
      </w:r>
      <w:r w:rsidRPr="3643AA53">
        <w:rPr>
          <w:rFonts w:ascii="Humnst777 Lt BT" w:hAnsi="Humnst777 Lt BT"/>
          <w:sz w:val="24"/>
          <w:szCs w:val="24"/>
        </w:rPr>
        <w:t>Treasury</w:t>
      </w:r>
      <w:r w:rsidR="00DE1E58">
        <w:rPr>
          <w:rFonts w:ascii="Humnst777 Lt BT" w:hAnsi="Humnst777 Lt BT"/>
          <w:sz w:val="24"/>
          <w:szCs w:val="24"/>
        </w:rPr>
        <w:t xml:space="preserve"> in specific areas and within specific limits</w:t>
      </w:r>
      <w:r w:rsidRPr="3643AA53">
        <w:rPr>
          <w:rFonts w:ascii="Humnst777 Lt BT" w:hAnsi="Humnst777 Lt BT"/>
          <w:sz w:val="24"/>
          <w:szCs w:val="24"/>
        </w:rPr>
        <w:t>.</w:t>
      </w:r>
      <w:r w:rsidR="004A0E91">
        <w:rPr>
          <w:rFonts w:ascii="Humnst777 Lt BT" w:hAnsi="Humnst777 Lt BT"/>
          <w:sz w:val="24"/>
          <w:szCs w:val="24"/>
        </w:rPr>
        <w:t xml:space="preserve"> The </w:t>
      </w:r>
      <w:r w:rsidR="00F21F89">
        <w:rPr>
          <w:rFonts w:ascii="Humnst777 Lt BT" w:hAnsi="Humnst777 Lt BT"/>
          <w:sz w:val="24"/>
          <w:szCs w:val="24"/>
        </w:rPr>
        <w:t>delegated authorities</w:t>
      </w:r>
      <w:r w:rsidR="00207CC2">
        <w:rPr>
          <w:rFonts w:ascii="Humnst777 Lt BT" w:hAnsi="Humnst777 Lt BT"/>
          <w:sz w:val="24"/>
          <w:szCs w:val="24"/>
        </w:rPr>
        <w:t xml:space="preserve"> do not make any distinction between DEL and AME spending.</w:t>
      </w:r>
      <w:r w:rsidR="000A211D">
        <w:rPr>
          <w:rFonts w:ascii="Humnst777 Lt BT" w:hAnsi="Humnst777 Lt BT"/>
          <w:sz w:val="24"/>
          <w:szCs w:val="24"/>
        </w:rPr>
        <w:t xml:space="preserve"> Where expenditure does not fall within these delegations, Treasury consent will be necessary.</w:t>
      </w:r>
      <w:r w:rsidRPr="3643AA53">
        <w:rPr>
          <w:rFonts w:ascii="Humnst777 Lt BT" w:hAnsi="Humnst777 Lt BT"/>
          <w:sz w:val="24"/>
          <w:szCs w:val="24"/>
        </w:rPr>
        <w:t xml:space="preserve"> Details of these </w:t>
      </w:r>
      <w:r w:rsidR="000A211D">
        <w:rPr>
          <w:rFonts w:ascii="Humnst777 Lt BT" w:hAnsi="Humnst777 Lt BT"/>
          <w:sz w:val="24"/>
          <w:szCs w:val="24"/>
        </w:rPr>
        <w:t xml:space="preserve">delegated </w:t>
      </w:r>
      <w:r w:rsidRPr="3643AA53">
        <w:rPr>
          <w:rFonts w:ascii="Humnst777 Lt BT" w:hAnsi="Humnst777 Lt BT"/>
          <w:sz w:val="24"/>
          <w:szCs w:val="24"/>
        </w:rPr>
        <w:t>authorities</w:t>
      </w:r>
      <w:r w:rsidR="008B1245">
        <w:rPr>
          <w:rFonts w:ascii="Humnst777 Lt BT" w:hAnsi="Humnst777 Lt BT"/>
          <w:sz w:val="24"/>
          <w:szCs w:val="24"/>
        </w:rPr>
        <w:t xml:space="preserve"> </w:t>
      </w:r>
      <w:r w:rsidRPr="3643AA53">
        <w:rPr>
          <w:rFonts w:ascii="Humnst777 Lt BT" w:hAnsi="Humnst777 Lt BT"/>
          <w:sz w:val="24"/>
          <w:szCs w:val="24"/>
        </w:rPr>
        <w:t xml:space="preserve">are set out in Annex A, </w:t>
      </w:r>
      <w:r w:rsidR="00DE1E58">
        <w:rPr>
          <w:rFonts w:ascii="Humnst777 Lt BT" w:hAnsi="Humnst777 Lt BT"/>
          <w:sz w:val="24"/>
          <w:szCs w:val="24"/>
        </w:rPr>
        <w:t>alongside</w:t>
      </w:r>
      <w:r w:rsidRPr="3643AA53">
        <w:rPr>
          <w:rFonts w:ascii="Humnst777 Lt BT" w:hAnsi="Humnst777 Lt BT"/>
          <w:sz w:val="24"/>
          <w:szCs w:val="24"/>
        </w:rPr>
        <w:t xml:space="preserve"> a list of the categories of spending which always require Treasury approval. These include proposals </w:t>
      </w:r>
      <w:r w:rsidR="004B2BC7">
        <w:rPr>
          <w:rFonts w:ascii="Humnst777 Lt BT" w:hAnsi="Humnst777 Lt BT"/>
          <w:sz w:val="24"/>
          <w:szCs w:val="24"/>
        </w:rPr>
        <w:t xml:space="preserve">for </w:t>
      </w:r>
      <w:proofErr w:type="gramStart"/>
      <w:r w:rsidR="004B2BC7">
        <w:rPr>
          <w:rFonts w:ascii="Humnst777 Lt BT" w:hAnsi="Humnst777 Lt BT"/>
          <w:sz w:val="24"/>
          <w:szCs w:val="24"/>
        </w:rPr>
        <w:t>expenditure</w:t>
      </w:r>
      <w:proofErr w:type="gramEnd"/>
      <w:r w:rsidR="004B2BC7">
        <w:rPr>
          <w:rFonts w:ascii="Humnst777 Lt BT" w:hAnsi="Humnst777 Lt BT"/>
          <w:sz w:val="24"/>
          <w:szCs w:val="24"/>
        </w:rPr>
        <w:t xml:space="preserve"> which is</w:t>
      </w:r>
      <w:r w:rsidRPr="3643AA53">
        <w:rPr>
          <w:rFonts w:ascii="Humnst777 Lt BT" w:hAnsi="Humnst777 Lt BT"/>
          <w:sz w:val="24"/>
          <w:szCs w:val="24"/>
        </w:rPr>
        <w:t xml:space="preserve"> novel and contentious,</w:t>
      </w:r>
      <w:r w:rsidR="00DE1E58">
        <w:rPr>
          <w:rFonts w:ascii="Humnst777 Lt BT" w:hAnsi="Humnst777 Lt BT"/>
          <w:sz w:val="24"/>
          <w:szCs w:val="24"/>
        </w:rPr>
        <w:t xml:space="preserve"> or</w:t>
      </w:r>
      <w:r w:rsidRPr="3643AA53">
        <w:rPr>
          <w:rFonts w:ascii="Humnst777 Lt BT" w:hAnsi="Humnst777 Lt BT"/>
          <w:sz w:val="24"/>
          <w:szCs w:val="24"/>
        </w:rPr>
        <w:t xml:space="preserve"> could cause repercussions</w:t>
      </w:r>
      <w:r w:rsidR="007D7229">
        <w:rPr>
          <w:rFonts w:ascii="Humnst777 Lt BT" w:hAnsi="Humnst777 Lt BT"/>
          <w:sz w:val="24"/>
          <w:szCs w:val="24"/>
        </w:rPr>
        <w:t xml:space="preserve"> elsewhere in the public sector</w:t>
      </w:r>
      <w:r w:rsidRPr="3643AA53">
        <w:rPr>
          <w:rFonts w:ascii="Humnst777 Lt BT" w:hAnsi="Humnst777 Lt BT"/>
          <w:sz w:val="24"/>
          <w:szCs w:val="24"/>
        </w:rPr>
        <w:t xml:space="preserve">. </w:t>
      </w:r>
      <w:r w:rsidR="00B12BB7">
        <w:rPr>
          <w:rFonts w:ascii="Humnst777 Lt BT" w:hAnsi="Humnst777 Lt BT"/>
          <w:sz w:val="24"/>
          <w:szCs w:val="24"/>
        </w:rPr>
        <w:t>E</w:t>
      </w:r>
      <w:r w:rsidR="000D3A8D">
        <w:rPr>
          <w:rFonts w:ascii="Humnst777 Lt BT" w:hAnsi="Humnst777 Lt BT"/>
          <w:sz w:val="24"/>
          <w:szCs w:val="24"/>
        </w:rPr>
        <w:t>xpenditure slotting into</w:t>
      </w:r>
      <w:r w:rsidR="00B12BB7">
        <w:rPr>
          <w:rFonts w:ascii="Humnst777 Lt BT" w:hAnsi="Humnst777 Lt BT"/>
          <w:sz w:val="24"/>
          <w:szCs w:val="24"/>
        </w:rPr>
        <w:t xml:space="preserve"> any of</w:t>
      </w:r>
      <w:r w:rsidR="000D3A8D">
        <w:rPr>
          <w:rFonts w:ascii="Humnst777 Lt BT" w:hAnsi="Humnst777 Lt BT"/>
          <w:sz w:val="24"/>
          <w:szCs w:val="24"/>
        </w:rPr>
        <w:t xml:space="preserve"> these categories </w:t>
      </w:r>
      <w:r w:rsidR="00B12BB7">
        <w:rPr>
          <w:rFonts w:ascii="Humnst777 Lt BT" w:hAnsi="Humnst777 Lt BT"/>
          <w:sz w:val="24"/>
          <w:szCs w:val="24"/>
        </w:rPr>
        <w:t>requires</w:t>
      </w:r>
      <w:r w:rsidR="0056306E">
        <w:rPr>
          <w:rFonts w:ascii="Humnst777 Lt BT" w:hAnsi="Humnst777 Lt BT"/>
          <w:sz w:val="24"/>
          <w:szCs w:val="24"/>
        </w:rPr>
        <w:t xml:space="preserve"> </w:t>
      </w:r>
      <w:r w:rsidR="00B12BB7">
        <w:rPr>
          <w:rFonts w:ascii="Humnst777 Lt BT" w:hAnsi="Humnst777 Lt BT"/>
          <w:sz w:val="24"/>
          <w:szCs w:val="24"/>
        </w:rPr>
        <w:t xml:space="preserve">Treasury consent. </w:t>
      </w:r>
      <w:r w:rsidR="0056306E">
        <w:rPr>
          <w:rFonts w:ascii="Humnst777 Lt BT" w:hAnsi="Humnst777 Lt BT"/>
          <w:sz w:val="24"/>
          <w:szCs w:val="24"/>
        </w:rPr>
        <w:t>If no delegation is set out specifically in the letter, then the delegation is nil and Treasury consent will need to be sought. Programme specific delegations are</w:t>
      </w:r>
      <w:r w:rsidR="00DE1E58">
        <w:rPr>
          <w:rFonts w:ascii="Humnst777 Lt BT" w:hAnsi="Humnst777 Lt BT"/>
          <w:sz w:val="24"/>
          <w:szCs w:val="24"/>
        </w:rPr>
        <w:t xml:space="preserve"> also</w:t>
      </w:r>
      <w:r w:rsidR="0056306E">
        <w:rPr>
          <w:rFonts w:ascii="Humnst777 Lt BT" w:hAnsi="Humnst777 Lt BT"/>
          <w:sz w:val="24"/>
          <w:szCs w:val="24"/>
        </w:rPr>
        <w:t xml:space="preserve"> set out in Annex A.  </w:t>
      </w:r>
    </w:p>
    <w:p w14:paraId="1139F5F5" w14:textId="77777777" w:rsidR="008A6568" w:rsidRDefault="008A6568" w:rsidP="001E0DEC">
      <w:pPr>
        <w:spacing w:after="0"/>
        <w:jc w:val="both"/>
        <w:rPr>
          <w:rFonts w:ascii="Humnst777 Lt BT" w:hAnsi="Humnst777 Lt BT"/>
          <w:sz w:val="24"/>
          <w:szCs w:val="24"/>
        </w:rPr>
      </w:pPr>
    </w:p>
    <w:p w14:paraId="779D81CE" w14:textId="338403CD" w:rsidR="00D408BC" w:rsidRDefault="00D408BC" w:rsidP="00A071ED">
      <w:pPr>
        <w:spacing w:after="0"/>
        <w:jc w:val="both"/>
        <w:rPr>
          <w:rFonts w:ascii="Humnst777 Lt BT" w:hAnsi="Humnst777 Lt BT"/>
          <w:sz w:val="24"/>
          <w:szCs w:val="24"/>
        </w:rPr>
      </w:pPr>
      <w:r>
        <w:rPr>
          <w:rFonts w:ascii="Humnst777 Lt BT" w:hAnsi="Humnst777 Lt BT"/>
          <w:sz w:val="24"/>
          <w:szCs w:val="24"/>
        </w:rPr>
        <w:t>This delegation letter commences from the date of this letter and will be reviewed</w:t>
      </w:r>
      <w:r w:rsidR="00DE1E58">
        <w:rPr>
          <w:rFonts w:ascii="Humnst777 Lt BT" w:hAnsi="Humnst777 Lt BT"/>
          <w:sz w:val="24"/>
          <w:szCs w:val="24"/>
        </w:rPr>
        <w:t xml:space="preserve"> on annual basis by </w:t>
      </w:r>
      <w:r w:rsidR="00B7692B">
        <w:rPr>
          <w:rFonts w:ascii="Humnst777 Lt BT" w:hAnsi="Humnst777 Lt BT"/>
          <w:sz w:val="24"/>
          <w:szCs w:val="24"/>
        </w:rPr>
        <w:t xml:space="preserve">the </w:t>
      </w:r>
      <w:r w:rsidR="00DE1E58">
        <w:rPr>
          <w:rFonts w:ascii="Humnst777 Lt BT" w:hAnsi="Humnst777 Lt BT"/>
          <w:sz w:val="24"/>
          <w:szCs w:val="24"/>
        </w:rPr>
        <w:t>Treasury. The letter</w:t>
      </w:r>
      <w:r w:rsidR="008B1245">
        <w:rPr>
          <w:rFonts w:ascii="Humnst777 Lt BT" w:hAnsi="Humnst777 Lt BT"/>
          <w:sz w:val="24"/>
          <w:szCs w:val="24"/>
        </w:rPr>
        <w:t xml:space="preserve"> should be read in conjunction with other guidance setting out the parameters of departmental spending authority, such as </w:t>
      </w:r>
      <w:r w:rsidR="008B1245">
        <w:rPr>
          <w:rFonts w:ascii="Humnst777 Lt BT" w:hAnsi="Humnst777 Lt BT"/>
          <w:i/>
          <w:iCs/>
          <w:sz w:val="24"/>
          <w:szCs w:val="24"/>
        </w:rPr>
        <w:t>Managing Public Money</w:t>
      </w:r>
      <w:r w:rsidR="008B1245">
        <w:rPr>
          <w:rFonts w:ascii="Humnst777 Lt BT" w:hAnsi="Humnst777 Lt BT"/>
          <w:sz w:val="24"/>
          <w:szCs w:val="24"/>
        </w:rPr>
        <w:t>.</w:t>
      </w:r>
      <w:r w:rsidR="004B3DEF">
        <w:rPr>
          <w:rFonts w:ascii="Humnst777 Lt BT" w:hAnsi="Humnst777 Lt BT"/>
          <w:sz w:val="24"/>
          <w:szCs w:val="24"/>
        </w:rPr>
        <w:t xml:space="preserve"> Any questions on the contents of this letter should be referred to </w:t>
      </w:r>
      <w:r w:rsidR="00EB44B1">
        <w:rPr>
          <w:rFonts w:ascii="Humnst777 Lt BT" w:hAnsi="Humnst777 Lt BT"/>
          <w:sz w:val="24"/>
          <w:szCs w:val="24"/>
        </w:rPr>
        <w:t>your d</w:t>
      </w:r>
      <w:r w:rsidR="004B3DEF">
        <w:rPr>
          <w:rFonts w:ascii="Humnst777 Lt BT" w:hAnsi="Humnst777 Lt BT"/>
          <w:sz w:val="24"/>
          <w:szCs w:val="24"/>
        </w:rPr>
        <w:t>epartment’s Spending Team</w:t>
      </w:r>
      <w:r w:rsidR="00EB44B1">
        <w:rPr>
          <w:rFonts w:ascii="Humnst777 Lt BT" w:hAnsi="Humnst777 Lt BT"/>
          <w:sz w:val="24"/>
          <w:szCs w:val="24"/>
        </w:rPr>
        <w:t xml:space="preserve"> in the Treasury</w:t>
      </w:r>
      <w:r w:rsidR="004B3DEF">
        <w:rPr>
          <w:rFonts w:ascii="Humnst777 Lt BT" w:hAnsi="Humnst777 Lt BT"/>
          <w:sz w:val="24"/>
          <w:szCs w:val="24"/>
        </w:rPr>
        <w:t>.</w:t>
      </w:r>
    </w:p>
    <w:p w14:paraId="3C18DCCC" w14:textId="77777777" w:rsidR="000F4883" w:rsidRDefault="000F4883" w:rsidP="00A071ED">
      <w:pPr>
        <w:spacing w:after="0"/>
        <w:jc w:val="both"/>
        <w:rPr>
          <w:rFonts w:ascii="Humnst777 Lt BT" w:hAnsi="Humnst777 Lt BT"/>
          <w:sz w:val="24"/>
          <w:szCs w:val="24"/>
        </w:rPr>
      </w:pPr>
    </w:p>
    <w:p w14:paraId="6E8402DD" w14:textId="726DC155" w:rsidR="003732F3" w:rsidRDefault="003732F3" w:rsidP="00A071ED">
      <w:pPr>
        <w:pStyle w:val="Heading1"/>
        <w:spacing w:before="0"/>
        <w:rPr>
          <w:rFonts w:ascii="Humnst777 Lt BT" w:hAnsi="Humnst777 Lt BT"/>
          <w:sz w:val="24"/>
          <w:szCs w:val="24"/>
        </w:rPr>
      </w:pPr>
      <w:r w:rsidRPr="007B2685">
        <w:rPr>
          <w:rFonts w:ascii="Humnst777 Lt BT" w:hAnsi="Humnst777 Lt BT"/>
          <w:sz w:val="24"/>
          <w:szCs w:val="24"/>
        </w:rPr>
        <w:lastRenderedPageBreak/>
        <w:t>New policy proposals and announcements</w:t>
      </w:r>
    </w:p>
    <w:p w14:paraId="0A351F07" w14:textId="4C8B893C" w:rsidR="003732F3" w:rsidRPr="007B2685" w:rsidRDefault="003732F3" w:rsidP="001E0DEC">
      <w:pPr>
        <w:spacing w:after="0"/>
        <w:jc w:val="both"/>
        <w:rPr>
          <w:rFonts w:ascii="Humnst777 Lt BT" w:hAnsi="Humnst777 Lt BT"/>
          <w:sz w:val="24"/>
          <w:szCs w:val="24"/>
        </w:rPr>
      </w:pPr>
      <w:r w:rsidRPr="007B2685">
        <w:rPr>
          <w:rFonts w:ascii="Humnst777 Lt BT" w:hAnsi="Humnst777 Lt BT"/>
          <w:sz w:val="24"/>
          <w:szCs w:val="24"/>
        </w:rPr>
        <w:t xml:space="preserve">New policy proposals and announcements with financial implications must be cleared with </w:t>
      </w:r>
      <w:r w:rsidR="00EB44B1">
        <w:rPr>
          <w:rFonts w:ascii="Humnst777 Lt BT" w:hAnsi="Humnst777 Lt BT"/>
          <w:sz w:val="24"/>
          <w:szCs w:val="24"/>
        </w:rPr>
        <w:t>the</w:t>
      </w:r>
      <w:r w:rsidR="00EB44B1" w:rsidRPr="007B2685">
        <w:rPr>
          <w:rFonts w:ascii="Humnst777 Lt BT" w:hAnsi="Humnst777 Lt BT"/>
          <w:sz w:val="24"/>
          <w:szCs w:val="24"/>
        </w:rPr>
        <w:t xml:space="preserve"> </w:t>
      </w:r>
      <w:r w:rsidRPr="007B2685">
        <w:rPr>
          <w:rFonts w:ascii="Humnst777 Lt BT" w:hAnsi="Humnst777 Lt BT"/>
          <w:sz w:val="24"/>
          <w:szCs w:val="24"/>
        </w:rPr>
        <w:t>Treasury when:</w:t>
      </w:r>
    </w:p>
    <w:p w14:paraId="32F3F5C2" w14:textId="4C34C9CC" w:rsidR="003732F3" w:rsidRDefault="003732F3" w:rsidP="001E0DEC">
      <w:pPr>
        <w:pStyle w:val="ListParagraph"/>
        <w:numPr>
          <w:ilvl w:val="0"/>
          <w:numId w:val="10"/>
        </w:numPr>
        <w:spacing w:after="0"/>
        <w:jc w:val="both"/>
        <w:rPr>
          <w:rFonts w:ascii="Humnst777 Lt BT" w:hAnsi="Humnst777 Lt BT"/>
          <w:sz w:val="24"/>
          <w:szCs w:val="24"/>
        </w:rPr>
      </w:pPr>
      <w:r w:rsidRPr="007B2685">
        <w:rPr>
          <w:rFonts w:ascii="Humnst777 Lt BT" w:hAnsi="Humnst777 Lt BT"/>
          <w:sz w:val="24"/>
          <w:szCs w:val="24"/>
        </w:rPr>
        <w:t xml:space="preserve">they are outside the department’s delegated </w:t>
      </w:r>
      <w:proofErr w:type="gramStart"/>
      <w:r w:rsidRPr="007B2685">
        <w:rPr>
          <w:rFonts w:ascii="Humnst777 Lt BT" w:hAnsi="Humnst777 Lt BT"/>
          <w:sz w:val="24"/>
          <w:szCs w:val="24"/>
        </w:rPr>
        <w:t>authorities;</w:t>
      </w:r>
      <w:proofErr w:type="gramEnd"/>
      <w:r w:rsidRPr="007B2685">
        <w:rPr>
          <w:rFonts w:ascii="Humnst777 Lt BT" w:hAnsi="Humnst777 Lt BT"/>
          <w:sz w:val="24"/>
          <w:szCs w:val="24"/>
        </w:rPr>
        <w:t xml:space="preserve"> </w:t>
      </w:r>
    </w:p>
    <w:p w14:paraId="202E68EF" w14:textId="4AA17061" w:rsidR="00482107" w:rsidRPr="007B2685" w:rsidRDefault="00482107" w:rsidP="001E0DEC">
      <w:pPr>
        <w:pStyle w:val="ListParagraph"/>
        <w:numPr>
          <w:ilvl w:val="0"/>
          <w:numId w:val="10"/>
        </w:numPr>
        <w:spacing w:after="0"/>
        <w:jc w:val="both"/>
        <w:rPr>
          <w:rFonts w:ascii="Humnst777 Lt BT" w:hAnsi="Humnst777 Lt BT"/>
          <w:sz w:val="24"/>
          <w:szCs w:val="24"/>
        </w:rPr>
      </w:pPr>
      <w:r>
        <w:rPr>
          <w:rFonts w:ascii="Humnst777 Lt BT" w:hAnsi="Humnst777 Lt BT"/>
          <w:sz w:val="24"/>
          <w:szCs w:val="24"/>
        </w:rPr>
        <w:t>they are included within the list of categories of spending which always require HM</w:t>
      </w:r>
      <w:r w:rsidR="0056306E">
        <w:rPr>
          <w:rFonts w:ascii="Humnst777 Lt BT" w:hAnsi="Humnst777 Lt BT"/>
          <w:sz w:val="24"/>
          <w:szCs w:val="24"/>
        </w:rPr>
        <w:t xml:space="preserve"> </w:t>
      </w:r>
      <w:r>
        <w:rPr>
          <w:rFonts w:ascii="Humnst777 Lt BT" w:hAnsi="Humnst777 Lt BT"/>
          <w:sz w:val="24"/>
          <w:szCs w:val="24"/>
        </w:rPr>
        <w:t>T</w:t>
      </w:r>
      <w:r w:rsidR="0056306E">
        <w:rPr>
          <w:rFonts w:ascii="Humnst777 Lt BT" w:hAnsi="Humnst777 Lt BT"/>
          <w:sz w:val="24"/>
          <w:szCs w:val="24"/>
        </w:rPr>
        <w:t>reasury</w:t>
      </w:r>
      <w:r>
        <w:rPr>
          <w:rFonts w:ascii="Humnst777 Lt BT" w:hAnsi="Humnst777 Lt BT"/>
          <w:sz w:val="24"/>
          <w:szCs w:val="24"/>
        </w:rPr>
        <w:t xml:space="preserve"> </w:t>
      </w:r>
      <w:proofErr w:type="gramStart"/>
      <w:r>
        <w:rPr>
          <w:rFonts w:ascii="Humnst777 Lt BT" w:hAnsi="Humnst777 Lt BT"/>
          <w:sz w:val="24"/>
          <w:szCs w:val="24"/>
        </w:rPr>
        <w:t>approval;</w:t>
      </w:r>
      <w:proofErr w:type="gramEnd"/>
    </w:p>
    <w:p w14:paraId="5427DF61" w14:textId="77777777" w:rsidR="003732F3" w:rsidRDefault="003732F3" w:rsidP="00A071ED">
      <w:pPr>
        <w:pStyle w:val="ListParagraph"/>
        <w:numPr>
          <w:ilvl w:val="0"/>
          <w:numId w:val="10"/>
        </w:numPr>
        <w:spacing w:after="0"/>
        <w:jc w:val="both"/>
        <w:rPr>
          <w:rFonts w:ascii="Humnst777 Lt BT" w:hAnsi="Humnst777 Lt BT"/>
          <w:sz w:val="24"/>
          <w:szCs w:val="24"/>
        </w:rPr>
      </w:pPr>
      <w:r w:rsidRPr="007B2685">
        <w:rPr>
          <w:rFonts w:ascii="Humnst777 Lt BT" w:hAnsi="Humnst777 Lt BT"/>
          <w:sz w:val="24"/>
          <w:szCs w:val="24"/>
        </w:rPr>
        <w:t xml:space="preserve">they are to be submitted to the Cabinet or a Ministerial committee for collective approval. </w:t>
      </w:r>
    </w:p>
    <w:p w14:paraId="18B16628" w14:textId="77777777" w:rsidR="008A6568" w:rsidRPr="007B2685" w:rsidRDefault="008A6568" w:rsidP="005F1D7A">
      <w:pPr>
        <w:pStyle w:val="ListParagraph"/>
        <w:spacing w:after="0"/>
        <w:jc w:val="both"/>
        <w:rPr>
          <w:rFonts w:ascii="Humnst777 Lt BT" w:hAnsi="Humnst777 Lt BT"/>
          <w:sz w:val="24"/>
          <w:szCs w:val="24"/>
        </w:rPr>
      </w:pPr>
    </w:p>
    <w:p w14:paraId="68A8BECE" w14:textId="3527BD7F" w:rsidR="003732F3" w:rsidRDefault="003732F3" w:rsidP="00A071ED">
      <w:pPr>
        <w:spacing w:after="0"/>
        <w:jc w:val="both"/>
        <w:rPr>
          <w:rFonts w:ascii="Humnst777 Lt BT" w:hAnsi="Humnst777 Lt BT"/>
          <w:sz w:val="24"/>
          <w:szCs w:val="24"/>
        </w:rPr>
      </w:pPr>
      <w:r w:rsidRPr="007B2685">
        <w:rPr>
          <w:rFonts w:ascii="Humnst777 Lt BT" w:hAnsi="Humnst777 Lt BT"/>
          <w:sz w:val="24"/>
          <w:szCs w:val="24"/>
        </w:rPr>
        <w:t xml:space="preserve">Cost estimates must be provided to </w:t>
      </w:r>
      <w:r w:rsidR="00B75E7B">
        <w:rPr>
          <w:rFonts w:ascii="Humnst777 Lt BT" w:hAnsi="Humnst777 Lt BT"/>
          <w:sz w:val="24"/>
          <w:szCs w:val="24"/>
        </w:rPr>
        <w:t>the</w:t>
      </w:r>
      <w:r w:rsidR="00B75E7B" w:rsidRPr="007B2685">
        <w:rPr>
          <w:rFonts w:ascii="Humnst777 Lt BT" w:hAnsi="Humnst777 Lt BT"/>
          <w:sz w:val="24"/>
          <w:szCs w:val="24"/>
        </w:rPr>
        <w:t xml:space="preserve"> </w:t>
      </w:r>
      <w:r w:rsidRPr="007B2685">
        <w:rPr>
          <w:rFonts w:ascii="Humnst777 Lt BT" w:hAnsi="Humnst777 Lt BT"/>
          <w:sz w:val="24"/>
          <w:szCs w:val="24"/>
        </w:rPr>
        <w:t xml:space="preserve">Treasury with an identification of how the costs will be met, including costs </w:t>
      </w:r>
      <w:r w:rsidR="00AC31D8">
        <w:rPr>
          <w:rFonts w:ascii="Humnst777 Lt BT" w:hAnsi="Humnst777 Lt BT"/>
          <w:sz w:val="24"/>
          <w:szCs w:val="24"/>
        </w:rPr>
        <w:t>impacts for</w:t>
      </w:r>
      <w:r w:rsidR="00AC31D8" w:rsidRPr="007B2685">
        <w:rPr>
          <w:rFonts w:ascii="Humnst777 Lt BT" w:hAnsi="Humnst777 Lt BT"/>
          <w:sz w:val="24"/>
          <w:szCs w:val="24"/>
        </w:rPr>
        <w:t xml:space="preserve"> </w:t>
      </w:r>
      <w:r w:rsidRPr="007B2685">
        <w:rPr>
          <w:rFonts w:ascii="Humnst777 Lt BT" w:hAnsi="Humnst777 Lt BT"/>
          <w:sz w:val="24"/>
          <w:szCs w:val="24"/>
        </w:rPr>
        <w:t xml:space="preserve">other departments. </w:t>
      </w:r>
      <w:r w:rsidR="00BE7179">
        <w:rPr>
          <w:rFonts w:ascii="Humnst777 Lt BT" w:hAnsi="Humnst777 Lt BT"/>
          <w:sz w:val="24"/>
          <w:szCs w:val="24"/>
        </w:rPr>
        <w:t>Except</w:t>
      </w:r>
      <w:r w:rsidR="6694A7E4" w:rsidRPr="6B890FD6">
        <w:rPr>
          <w:rFonts w:ascii="Humnst777 Lt BT" w:hAnsi="Humnst777 Lt BT"/>
          <w:sz w:val="24"/>
          <w:szCs w:val="24"/>
        </w:rPr>
        <w:t xml:space="preserve"> where specif</w:t>
      </w:r>
      <w:r w:rsidR="00EB4BD1">
        <w:rPr>
          <w:rFonts w:ascii="Humnst777 Lt BT" w:hAnsi="Humnst777 Lt BT"/>
          <w:sz w:val="24"/>
          <w:szCs w:val="24"/>
        </w:rPr>
        <w:t>i</w:t>
      </w:r>
      <w:r w:rsidR="6694A7E4" w:rsidRPr="6B890FD6">
        <w:rPr>
          <w:rFonts w:ascii="Humnst777 Lt BT" w:hAnsi="Humnst777 Lt BT"/>
          <w:sz w:val="24"/>
          <w:szCs w:val="24"/>
        </w:rPr>
        <w:t xml:space="preserve">cally agreed with </w:t>
      </w:r>
      <w:r w:rsidR="00B75E7B">
        <w:rPr>
          <w:rFonts w:ascii="Humnst777 Lt BT" w:hAnsi="Humnst777 Lt BT"/>
          <w:sz w:val="24"/>
          <w:szCs w:val="24"/>
        </w:rPr>
        <w:t xml:space="preserve">the </w:t>
      </w:r>
      <w:r w:rsidR="6694A7E4" w:rsidRPr="6B890FD6">
        <w:rPr>
          <w:rFonts w:ascii="Humnst777 Lt BT" w:hAnsi="Humnst777 Lt BT"/>
          <w:sz w:val="24"/>
          <w:szCs w:val="24"/>
        </w:rPr>
        <w:t>T</w:t>
      </w:r>
      <w:r w:rsidR="0056306E">
        <w:rPr>
          <w:rFonts w:ascii="Humnst777 Lt BT" w:hAnsi="Humnst777 Lt BT"/>
          <w:sz w:val="24"/>
          <w:szCs w:val="24"/>
        </w:rPr>
        <w:t>reasury</w:t>
      </w:r>
      <w:r w:rsidR="00EB4BD1">
        <w:rPr>
          <w:rFonts w:ascii="Humnst777 Lt BT" w:hAnsi="Humnst777 Lt BT"/>
          <w:sz w:val="24"/>
          <w:szCs w:val="24"/>
        </w:rPr>
        <w:t>,</w:t>
      </w:r>
      <w:r w:rsidR="6694A7E4" w:rsidRPr="6B890FD6">
        <w:rPr>
          <w:rFonts w:ascii="Humnst777 Lt BT" w:hAnsi="Humnst777 Lt BT"/>
          <w:sz w:val="24"/>
          <w:szCs w:val="24"/>
        </w:rPr>
        <w:t xml:space="preserve"> </w:t>
      </w:r>
      <w:r w:rsidR="00DE1E58">
        <w:rPr>
          <w:rFonts w:ascii="Humnst777 Lt BT" w:hAnsi="Humnst777 Lt BT"/>
          <w:sz w:val="24"/>
          <w:szCs w:val="24"/>
        </w:rPr>
        <w:t>d</w:t>
      </w:r>
      <w:r w:rsidRPr="007B2685">
        <w:rPr>
          <w:rFonts w:ascii="Humnst777 Lt BT" w:hAnsi="Humnst777 Lt BT"/>
          <w:sz w:val="24"/>
          <w:szCs w:val="24"/>
        </w:rPr>
        <w:t xml:space="preserve">epartments are </w:t>
      </w:r>
      <w:r w:rsidR="00806250" w:rsidRPr="007B2685">
        <w:rPr>
          <w:rFonts w:ascii="Humnst777 Lt BT" w:hAnsi="Humnst777 Lt BT"/>
          <w:sz w:val="24"/>
          <w:szCs w:val="24"/>
        </w:rPr>
        <w:t>expected</w:t>
      </w:r>
      <w:r w:rsidRPr="007B2685">
        <w:rPr>
          <w:rFonts w:ascii="Humnst777 Lt BT" w:hAnsi="Humnst777 Lt BT"/>
          <w:sz w:val="24"/>
          <w:szCs w:val="24"/>
        </w:rPr>
        <w:t xml:space="preserve"> to submit a business case using </w:t>
      </w:r>
      <w:r w:rsidR="006237EE">
        <w:rPr>
          <w:rFonts w:ascii="Humnst777 Lt BT" w:hAnsi="Humnst777 Lt BT"/>
          <w:sz w:val="24"/>
          <w:szCs w:val="24"/>
        </w:rPr>
        <w:t xml:space="preserve">the </w:t>
      </w:r>
      <w:r w:rsidRPr="007B2685">
        <w:rPr>
          <w:rFonts w:ascii="Humnst777 Lt BT" w:hAnsi="Humnst777 Lt BT"/>
          <w:sz w:val="24"/>
          <w:szCs w:val="24"/>
        </w:rPr>
        <w:t>techniques</w:t>
      </w:r>
      <w:r w:rsidR="006237EE">
        <w:rPr>
          <w:rFonts w:ascii="Humnst777 Lt BT" w:hAnsi="Humnst777 Lt BT"/>
          <w:sz w:val="24"/>
          <w:szCs w:val="24"/>
        </w:rPr>
        <w:t xml:space="preserve"> set out in the </w:t>
      </w:r>
      <w:r w:rsidR="006237EE" w:rsidRPr="007B2685">
        <w:rPr>
          <w:rFonts w:ascii="Humnst777 Lt BT" w:hAnsi="Humnst777 Lt BT"/>
          <w:sz w:val="24"/>
          <w:szCs w:val="24"/>
        </w:rPr>
        <w:t>Green Book</w:t>
      </w:r>
      <w:r w:rsidRPr="007B2685">
        <w:rPr>
          <w:rFonts w:ascii="Humnst777 Lt BT" w:hAnsi="Humnst777 Lt BT"/>
          <w:sz w:val="24"/>
          <w:szCs w:val="24"/>
        </w:rPr>
        <w:t xml:space="preserve">, including cost-benefit analysis, to appraise and evaluate policy announcements and proposals, as well as projects and programmes. </w:t>
      </w:r>
    </w:p>
    <w:p w14:paraId="2CACE078" w14:textId="77777777" w:rsidR="008A6568" w:rsidRPr="007B2685" w:rsidRDefault="008A6568" w:rsidP="005F1D7A">
      <w:pPr>
        <w:spacing w:after="0"/>
        <w:jc w:val="both"/>
        <w:rPr>
          <w:rFonts w:ascii="Humnst777 Lt BT" w:hAnsi="Humnst777 Lt BT"/>
          <w:sz w:val="24"/>
          <w:szCs w:val="24"/>
        </w:rPr>
      </w:pPr>
    </w:p>
    <w:p w14:paraId="7F2C2A31" w14:textId="509C1181" w:rsidR="003732F3" w:rsidRDefault="003732F3" w:rsidP="00A071ED">
      <w:pPr>
        <w:spacing w:after="0"/>
        <w:jc w:val="both"/>
        <w:rPr>
          <w:rFonts w:ascii="Humnst777 Lt BT" w:hAnsi="Humnst777 Lt BT"/>
          <w:sz w:val="24"/>
          <w:szCs w:val="24"/>
        </w:rPr>
      </w:pPr>
      <w:r w:rsidRPr="25AF8D8B">
        <w:rPr>
          <w:rFonts w:ascii="Humnst777 Lt BT" w:hAnsi="Humnst777 Lt BT"/>
          <w:sz w:val="24"/>
          <w:szCs w:val="24"/>
        </w:rPr>
        <w:t xml:space="preserve">Where proposals with financial implications are to be submitted to the Cabinet or a Ministerial committee for collective approval, Treasury approval </w:t>
      </w:r>
      <w:r w:rsidR="006237EE">
        <w:rPr>
          <w:rFonts w:ascii="Humnst777 Lt BT" w:hAnsi="Humnst777 Lt BT"/>
          <w:sz w:val="24"/>
          <w:szCs w:val="24"/>
        </w:rPr>
        <w:t>must</w:t>
      </w:r>
      <w:r w:rsidRPr="25AF8D8B">
        <w:rPr>
          <w:rFonts w:ascii="Humnst777 Lt BT" w:hAnsi="Humnst777 Lt BT"/>
          <w:sz w:val="24"/>
          <w:szCs w:val="24"/>
        </w:rPr>
        <w:t xml:space="preserve"> be </w:t>
      </w:r>
      <w:r w:rsidR="006237EE">
        <w:rPr>
          <w:rFonts w:ascii="Humnst777 Lt BT" w:hAnsi="Humnst777 Lt BT"/>
          <w:sz w:val="24"/>
          <w:szCs w:val="24"/>
        </w:rPr>
        <w:t>secured</w:t>
      </w:r>
      <w:r w:rsidRPr="25AF8D8B">
        <w:rPr>
          <w:rFonts w:ascii="Humnst777 Lt BT" w:hAnsi="Humnst777 Lt BT"/>
          <w:sz w:val="24"/>
          <w:szCs w:val="24"/>
        </w:rPr>
        <w:t xml:space="preserve"> well in advance. Where the department proposing the policy and Treasury cannot agree in advance, any proposal for collective </w:t>
      </w:r>
      <w:r w:rsidR="00EC7C6C">
        <w:rPr>
          <w:rFonts w:ascii="Humnst777 Lt BT" w:hAnsi="Humnst777 Lt BT"/>
          <w:sz w:val="24"/>
          <w:szCs w:val="24"/>
        </w:rPr>
        <w:t>m</w:t>
      </w:r>
      <w:r w:rsidRPr="25AF8D8B">
        <w:rPr>
          <w:rFonts w:ascii="Humnst777 Lt BT" w:hAnsi="Humnst777 Lt BT"/>
          <w:sz w:val="24"/>
          <w:szCs w:val="24"/>
        </w:rPr>
        <w:t xml:space="preserve">inisterial consideration must record </w:t>
      </w:r>
      <w:r w:rsidR="007703D6">
        <w:rPr>
          <w:rFonts w:ascii="Humnst777 Lt BT" w:hAnsi="Humnst777 Lt BT"/>
          <w:sz w:val="24"/>
          <w:szCs w:val="24"/>
        </w:rPr>
        <w:t>the</w:t>
      </w:r>
      <w:r w:rsidR="007703D6" w:rsidRPr="25AF8D8B">
        <w:rPr>
          <w:rFonts w:ascii="Humnst777 Lt BT" w:hAnsi="Humnst777 Lt BT"/>
          <w:sz w:val="24"/>
          <w:szCs w:val="24"/>
        </w:rPr>
        <w:t xml:space="preserve"> </w:t>
      </w:r>
      <w:r w:rsidRPr="25AF8D8B">
        <w:rPr>
          <w:rFonts w:ascii="Humnst777 Lt BT" w:hAnsi="Humnst777 Lt BT"/>
          <w:sz w:val="24"/>
          <w:szCs w:val="24"/>
        </w:rPr>
        <w:t>Treasury</w:t>
      </w:r>
      <w:r w:rsidR="006237EE">
        <w:rPr>
          <w:rFonts w:ascii="Humnst777 Lt BT" w:hAnsi="Humnst777 Lt BT"/>
          <w:sz w:val="24"/>
          <w:szCs w:val="24"/>
        </w:rPr>
        <w:t>’s</w:t>
      </w:r>
      <w:r w:rsidRPr="25AF8D8B">
        <w:rPr>
          <w:rFonts w:ascii="Humnst777 Lt BT" w:hAnsi="Humnst777 Lt BT"/>
          <w:sz w:val="24"/>
          <w:szCs w:val="24"/>
        </w:rPr>
        <w:t xml:space="preserve"> position in terms which are acceptable to </w:t>
      </w:r>
      <w:r w:rsidR="007703D6">
        <w:rPr>
          <w:rFonts w:ascii="Humnst777 Lt BT" w:hAnsi="Humnst777 Lt BT"/>
          <w:sz w:val="24"/>
          <w:szCs w:val="24"/>
        </w:rPr>
        <w:t>the</w:t>
      </w:r>
      <w:r w:rsidR="007703D6" w:rsidRPr="25AF8D8B">
        <w:rPr>
          <w:rFonts w:ascii="Humnst777 Lt BT" w:hAnsi="Humnst777 Lt BT"/>
          <w:sz w:val="24"/>
          <w:szCs w:val="24"/>
        </w:rPr>
        <w:t xml:space="preserve"> </w:t>
      </w:r>
      <w:r w:rsidRPr="25AF8D8B">
        <w:rPr>
          <w:rFonts w:ascii="Humnst777 Lt BT" w:hAnsi="Humnst777 Lt BT"/>
          <w:sz w:val="24"/>
          <w:szCs w:val="24"/>
        </w:rPr>
        <w:t>Treasury. Cabinet Committees will not sign</w:t>
      </w:r>
      <w:r w:rsidR="007F789D">
        <w:rPr>
          <w:rFonts w:ascii="Humnst777 Lt BT" w:hAnsi="Humnst777 Lt BT"/>
          <w:sz w:val="24"/>
          <w:szCs w:val="24"/>
        </w:rPr>
        <w:t>-</w:t>
      </w:r>
      <w:r w:rsidRPr="25AF8D8B">
        <w:rPr>
          <w:rFonts w:ascii="Humnst777 Lt BT" w:hAnsi="Humnst777 Lt BT"/>
          <w:sz w:val="24"/>
          <w:szCs w:val="24"/>
        </w:rPr>
        <w:t xml:space="preserve">off policy proposals with public expenditure implications unless Treasury </w:t>
      </w:r>
      <w:r w:rsidR="007703D6">
        <w:rPr>
          <w:rFonts w:ascii="Humnst777 Lt BT" w:hAnsi="Humnst777 Lt BT"/>
          <w:sz w:val="24"/>
          <w:szCs w:val="24"/>
        </w:rPr>
        <w:t>m</w:t>
      </w:r>
      <w:r w:rsidRPr="25AF8D8B">
        <w:rPr>
          <w:rFonts w:ascii="Humnst777 Lt BT" w:hAnsi="Humnst777 Lt BT"/>
          <w:sz w:val="24"/>
          <w:szCs w:val="24"/>
        </w:rPr>
        <w:t>inisters are content. Issues will be referred to the Prime Minister,</w:t>
      </w:r>
      <w:r w:rsidR="006237EE">
        <w:rPr>
          <w:rFonts w:ascii="Humnst777 Lt BT" w:hAnsi="Humnst777 Lt BT"/>
          <w:sz w:val="24"/>
          <w:szCs w:val="24"/>
        </w:rPr>
        <w:t xml:space="preserve"> if necessary, for decision, or to Cabinet if the Prime Minister so decides. </w:t>
      </w:r>
    </w:p>
    <w:p w14:paraId="250DBCCD" w14:textId="77777777" w:rsidR="008A6568" w:rsidRPr="007B2685" w:rsidRDefault="008A6568" w:rsidP="005F1D7A">
      <w:pPr>
        <w:spacing w:after="0"/>
        <w:jc w:val="both"/>
        <w:rPr>
          <w:rFonts w:ascii="Humnst777 Lt BT" w:hAnsi="Humnst777 Lt BT"/>
          <w:sz w:val="24"/>
          <w:szCs w:val="24"/>
        </w:rPr>
      </w:pPr>
    </w:p>
    <w:p w14:paraId="705E7E0B" w14:textId="4FAAB1F2" w:rsidR="008A6568" w:rsidRPr="000F1123" w:rsidRDefault="003732F3" w:rsidP="000F1123">
      <w:pPr>
        <w:pStyle w:val="Heading1"/>
        <w:spacing w:before="0"/>
        <w:rPr>
          <w:rFonts w:ascii="Humnst777 Lt BT" w:hAnsi="Humnst777 Lt BT"/>
          <w:sz w:val="24"/>
          <w:szCs w:val="24"/>
        </w:rPr>
      </w:pPr>
      <w:r w:rsidRPr="007B2685">
        <w:rPr>
          <w:rFonts w:ascii="Humnst777 Lt BT" w:hAnsi="Humnst777 Lt BT"/>
          <w:sz w:val="24"/>
          <w:szCs w:val="24"/>
        </w:rPr>
        <w:t>Project and programme s</w:t>
      </w:r>
      <w:r w:rsidRPr="007B2685" w:rsidDel="00B22291">
        <w:rPr>
          <w:rFonts w:ascii="Humnst777 Lt BT" w:hAnsi="Humnst777 Lt BT"/>
          <w:sz w:val="24"/>
          <w:szCs w:val="24"/>
        </w:rPr>
        <w:t>pending</w:t>
      </w:r>
    </w:p>
    <w:p w14:paraId="24F8879C" w14:textId="77777777" w:rsidR="00D81F57" w:rsidRDefault="00D81F57" w:rsidP="00D81F57">
      <w:pPr>
        <w:pStyle w:val="Heading3"/>
        <w:spacing w:before="0"/>
        <w:rPr>
          <w:rFonts w:ascii="Humnst777 Lt BT" w:eastAsia="Times New Roman" w:hAnsi="Humnst777 Lt BT"/>
          <w:color w:val="0070C0"/>
          <w:sz w:val="24"/>
          <w:szCs w:val="24"/>
        </w:rPr>
      </w:pPr>
      <w:r>
        <w:rPr>
          <w:rFonts w:ascii="Humnst777 Lt BT" w:eastAsia="Times New Roman" w:hAnsi="Humnst777 Lt BT"/>
          <w:color w:val="0070C0"/>
          <w:sz w:val="24"/>
          <w:szCs w:val="24"/>
        </w:rPr>
        <w:t>When approval is required</w:t>
      </w:r>
    </w:p>
    <w:p w14:paraId="17524B64" w14:textId="0EDBF2DB" w:rsidR="008A6568" w:rsidRPr="00D81F57" w:rsidRDefault="00D81F57" w:rsidP="00D81F57">
      <w:pPr>
        <w:jc w:val="both"/>
        <w:rPr>
          <w:rFonts w:ascii="Humnst777 Lt BT" w:eastAsiaTheme="minorHAnsi" w:hAnsi="Humnst777 Lt BT"/>
          <w:sz w:val="24"/>
          <w:szCs w:val="24"/>
        </w:rPr>
      </w:pPr>
      <w:r>
        <w:rPr>
          <w:rFonts w:ascii="Humnst777 Lt BT" w:hAnsi="Humnst777 Lt BT"/>
          <w:sz w:val="24"/>
          <w:szCs w:val="24"/>
        </w:rPr>
        <w:t xml:space="preserve">Projects and programmes require Treasury approval where they exceed, or are likely to exceed, the department’s delegated authorities. The need for Treasury approval extends to the renewal of existing projects and programmes where significant changes are being proposed as well as new projects and programmes. Treasury approval is also required for </w:t>
      </w:r>
      <w:r w:rsidRPr="00D81F57">
        <w:rPr>
          <w:rFonts w:ascii="Humnst777 Lt BT" w:hAnsi="Humnst777 Lt BT"/>
          <w:sz w:val="24"/>
          <w:szCs w:val="24"/>
        </w:rPr>
        <w:t xml:space="preserve">the projects and programmes of the </w:t>
      </w:r>
      <w:r w:rsidRPr="00D81F57">
        <w:rPr>
          <w:rFonts w:ascii="Humnst777 Lt BT" w:hAnsi="Humnst777 Lt BT"/>
          <w:b/>
          <w:bCs/>
          <w:color w:val="2F5496"/>
          <w:sz w:val="24"/>
          <w:szCs w:val="24"/>
        </w:rPr>
        <w:t xml:space="preserve">[Department name]’s </w:t>
      </w:r>
      <w:r w:rsidRPr="00D81F57">
        <w:rPr>
          <w:rFonts w:ascii="Humnst777 Lt BT" w:hAnsi="Humnst777 Lt BT"/>
          <w:sz w:val="24"/>
          <w:szCs w:val="24"/>
        </w:rPr>
        <w:t xml:space="preserve">executive agencies, non-departmental public bodies, or other sponsored bodies. For clarification, Treasury approval must be sought where multiple contracts tendered for a programme would, in aggregate, take expenditure over a given delegation limit; contracts must not be broken down in order to avoid the need for HMT approval. It will also be appropriate to seek HMT consent where additional contracts in relation to a programme of activity raise the expenditure above the delegation limit. </w:t>
      </w:r>
    </w:p>
    <w:p w14:paraId="4B22FD90" w14:textId="29824C71" w:rsidR="003732F3" w:rsidRPr="007B2685" w:rsidRDefault="003732F3" w:rsidP="006E41CF">
      <w:pPr>
        <w:spacing w:after="0"/>
        <w:jc w:val="both"/>
        <w:rPr>
          <w:rFonts w:ascii="Humnst777 Lt BT" w:hAnsi="Humnst777 Lt BT"/>
          <w:sz w:val="24"/>
          <w:szCs w:val="24"/>
        </w:rPr>
      </w:pPr>
      <w:r w:rsidRPr="007B2685">
        <w:rPr>
          <w:rFonts w:ascii="Humnst777 Lt BT" w:hAnsi="Humnst777 Lt BT"/>
          <w:sz w:val="24"/>
          <w:szCs w:val="24"/>
        </w:rPr>
        <w:t xml:space="preserve">Where expenditure is or is likely to be beyond the department's delegated authorities, Treasury approval must be given at a minimum at each key stage of the project or programme under the Five Case Model, as set out in the Green Book supplementary business case guidance: </w:t>
      </w:r>
    </w:p>
    <w:p w14:paraId="18666D09" w14:textId="77777777" w:rsidR="003732F3" w:rsidRPr="007B2685" w:rsidRDefault="003732F3" w:rsidP="006E41CF">
      <w:pPr>
        <w:numPr>
          <w:ilvl w:val="0"/>
          <w:numId w:val="4"/>
        </w:numPr>
        <w:spacing w:after="0"/>
        <w:jc w:val="both"/>
        <w:rPr>
          <w:rFonts w:ascii="Humnst777 Lt BT" w:hAnsi="Humnst777 Lt BT"/>
          <w:sz w:val="24"/>
          <w:szCs w:val="24"/>
        </w:rPr>
      </w:pPr>
      <w:r w:rsidRPr="007B2685">
        <w:rPr>
          <w:rFonts w:ascii="Humnst777 Lt BT" w:hAnsi="Humnst777 Lt BT"/>
          <w:sz w:val="24"/>
          <w:szCs w:val="24"/>
        </w:rPr>
        <w:lastRenderedPageBreak/>
        <w:t xml:space="preserve">initial approval at the Strategic Outline Case (SOC) </w:t>
      </w:r>
      <w:proofErr w:type="gramStart"/>
      <w:r w:rsidRPr="007B2685">
        <w:rPr>
          <w:rFonts w:ascii="Humnst777 Lt BT" w:hAnsi="Humnst777 Lt BT"/>
          <w:sz w:val="24"/>
          <w:szCs w:val="24"/>
        </w:rPr>
        <w:t>phase;</w:t>
      </w:r>
      <w:proofErr w:type="gramEnd"/>
    </w:p>
    <w:p w14:paraId="2C719F14" w14:textId="203FE6FF" w:rsidR="003732F3" w:rsidRPr="007B2685" w:rsidRDefault="003732F3" w:rsidP="006E41CF">
      <w:pPr>
        <w:numPr>
          <w:ilvl w:val="0"/>
          <w:numId w:val="4"/>
        </w:numPr>
        <w:spacing w:after="0"/>
        <w:jc w:val="both"/>
        <w:rPr>
          <w:rFonts w:ascii="Humnst777 Lt BT" w:hAnsi="Humnst777 Lt BT"/>
          <w:sz w:val="24"/>
          <w:szCs w:val="24"/>
        </w:rPr>
      </w:pPr>
      <w:r w:rsidRPr="007B2685">
        <w:rPr>
          <w:rFonts w:ascii="Humnst777 Lt BT" w:hAnsi="Humnst777 Lt BT"/>
          <w:sz w:val="24"/>
          <w:szCs w:val="24"/>
        </w:rPr>
        <w:t xml:space="preserve">approval at the Outline Business Case (OBC) phase, </w:t>
      </w:r>
      <w:r w:rsidRPr="007B2685">
        <w:rPr>
          <w:rFonts w:ascii="Humnst777 Lt BT" w:hAnsi="Humnst777 Lt BT"/>
          <w:sz w:val="24"/>
          <w:szCs w:val="24"/>
          <w:u w:val="single"/>
        </w:rPr>
        <w:t>before</w:t>
      </w:r>
      <w:r w:rsidRPr="007B2685">
        <w:rPr>
          <w:rFonts w:ascii="Humnst777 Lt BT" w:hAnsi="Humnst777 Lt BT"/>
          <w:sz w:val="24"/>
          <w:szCs w:val="24"/>
        </w:rPr>
        <w:t xml:space="preserve"> going out to the market</w:t>
      </w:r>
      <w:r w:rsidR="00DA731E">
        <w:rPr>
          <w:rFonts w:ascii="Humnst777 Lt BT" w:hAnsi="Humnst777 Lt BT"/>
          <w:sz w:val="24"/>
          <w:szCs w:val="24"/>
        </w:rPr>
        <w:t xml:space="preserve"> or </w:t>
      </w:r>
      <w:proofErr w:type="gramStart"/>
      <w:r w:rsidR="00DA731E">
        <w:rPr>
          <w:rFonts w:ascii="Humnst777 Lt BT" w:hAnsi="Humnst777 Lt BT"/>
          <w:sz w:val="24"/>
          <w:szCs w:val="24"/>
        </w:rPr>
        <w:t>tender;</w:t>
      </w:r>
      <w:proofErr w:type="gramEnd"/>
    </w:p>
    <w:p w14:paraId="1DF08D92" w14:textId="63A4390B" w:rsidR="003732F3" w:rsidRDefault="003732F3" w:rsidP="00A071ED">
      <w:pPr>
        <w:numPr>
          <w:ilvl w:val="0"/>
          <w:numId w:val="4"/>
        </w:numPr>
        <w:spacing w:after="0"/>
        <w:jc w:val="both"/>
        <w:rPr>
          <w:rFonts w:ascii="Humnst777 Lt BT" w:hAnsi="Humnst777 Lt BT"/>
          <w:sz w:val="24"/>
          <w:szCs w:val="24"/>
        </w:rPr>
      </w:pPr>
      <w:r w:rsidRPr="007B2685">
        <w:rPr>
          <w:rFonts w:ascii="Humnst777 Lt BT" w:hAnsi="Humnst777 Lt BT"/>
          <w:sz w:val="24"/>
          <w:szCs w:val="24"/>
        </w:rPr>
        <w:t xml:space="preserve">approval at the Full Business Case (FBC) phase </w:t>
      </w:r>
      <w:r w:rsidRPr="007B2685">
        <w:rPr>
          <w:rFonts w:ascii="Humnst777 Lt BT" w:hAnsi="Humnst777 Lt BT"/>
          <w:sz w:val="24"/>
          <w:szCs w:val="24"/>
          <w:u w:val="single"/>
        </w:rPr>
        <w:t>before</w:t>
      </w:r>
      <w:r w:rsidRPr="007B2685">
        <w:rPr>
          <w:rFonts w:ascii="Humnst777 Lt BT" w:hAnsi="Humnst777 Lt BT"/>
          <w:sz w:val="24"/>
          <w:szCs w:val="24"/>
        </w:rPr>
        <w:t xml:space="preserve"> any spending is committed. In the case of projects and programmes procured under the competitive dialogue process, approval is required before close of dialogue; further approval is then required at the FBC stage for any substantive changes since close of dialogue.</w:t>
      </w:r>
    </w:p>
    <w:p w14:paraId="2E2D3669" w14:textId="77777777" w:rsidR="0056306E" w:rsidRDefault="0056306E" w:rsidP="0056306E">
      <w:pPr>
        <w:spacing w:after="0"/>
        <w:ind w:left="720"/>
        <w:jc w:val="both"/>
        <w:rPr>
          <w:rFonts w:ascii="Humnst777 Lt BT" w:hAnsi="Humnst777 Lt BT"/>
          <w:sz w:val="24"/>
          <w:szCs w:val="24"/>
        </w:rPr>
      </w:pPr>
    </w:p>
    <w:p w14:paraId="68C7CE48" w14:textId="18450031" w:rsidR="003732F3" w:rsidRPr="007B2685" w:rsidRDefault="003732F3" w:rsidP="006E41CF">
      <w:pPr>
        <w:spacing w:after="0"/>
        <w:jc w:val="both"/>
        <w:rPr>
          <w:rFonts w:ascii="Humnst777 Lt BT" w:hAnsi="Humnst777 Lt BT"/>
          <w:sz w:val="24"/>
          <w:szCs w:val="24"/>
        </w:rPr>
      </w:pPr>
      <w:r w:rsidRPr="007B2685">
        <w:rPr>
          <w:rFonts w:ascii="Humnst777 Lt BT" w:hAnsi="Humnst777 Lt BT"/>
          <w:sz w:val="24"/>
          <w:szCs w:val="24"/>
        </w:rPr>
        <w:t>Additionally</w:t>
      </w:r>
      <w:r w:rsidR="001430D6" w:rsidRPr="00182574">
        <w:rPr>
          <w:rFonts w:ascii="Humnst777 Lt BT" w:hAnsi="Humnst777 Lt BT"/>
          <w:sz w:val="24"/>
          <w:szCs w:val="24"/>
        </w:rPr>
        <w:t>, for major projects as defined by the ‘Treasury approvals process’ guidance, the following apply</w:t>
      </w:r>
      <w:r w:rsidRPr="00182574">
        <w:rPr>
          <w:rFonts w:ascii="Humnst777 Lt BT" w:hAnsi="Humnst777 Lt BT"/>
          <w:sz w:val="24"/>
          <w:szCs w:val="24"/>
        </w:rPr>
        <w:t xml:space="preserve">: </w:t>
      </w:r>
    </w:p>
    <w:p w14:paraId="544198CA" w14:textId="5BCD0B03" w:rsidR="003732F3" w:rsidRPr="007B2685" w:rsidRDefault="0056306E" w:rsidP="006E41CF">
      <w:pPr>
        <w:pStyle w:val="ListParagraph"/>
        <w:numPr>
          <w:ilvl w:val="0"/>
          <w:numId w:val="8"/>
        </w:numPr>
        <w:spacing w:after="0"/>
        <w:jc w:val="both"/>
        <w:rPr>
          <w:rFonts w:ascii="Humnst777 Lt BT" w:hAnsi="Humnst777 Lt BT"/>
          <w:sz w:val="24"/>
          <w:szCs w:val="24"/>
        </w:rPr>
      </w:pPr>
      <w:r>
        <w:rPr>
          <w:rFonts w:ascii="Humnst777 Lt BT" w:hAnsi="Humnst777 Lt BT"/>
          <w:sz w:val="24"/>
          <w:szCs w:val="24"/>
        </w:rPr>
        <w:t>HM</w:t>
      </w:r>
      <w:r w:rsidR="003732F3" w:rsidRPr="007B2685">
        <w:rPr>
          <w:rFonts w:ascii="Humnst777 Lt BT" w:hAnsi="Humnst777 Lt BT"/>
          <w:sz w:val="24"/>
          <w:szCs w:val="24"/>
        </w:rPr>
        <w:t xml:space="preserve"> Treasury</w:t>
      </w:r>
      <w:r w:rsidR="00DA731E">
        <w:rPr>
          <w:rFonts w:ascii="Humnst777 Lt BT" w:hAnsi="Humnst777 Lt BT"/>
          <w:sz w:val="24"/>
          <w:szCs w:val="24"/>
        </w:rPr>
        <w:t xml:space="preserve"> and </w:t>
      </w:r>
      <w:r w:rsidR="00DA731E" w:rsidRPr="007B2685">
        <w:rPr>
          <w:rFonts w:ascii="Humnst777 Lt BT" w:hAnsi="Humnst777 Lt BT"/>
          <w:sz w:val="24"/>
          <w:szCs w:val="24"/>
        </w:rPr>
        <w:t xml:space="preserve">the </w:t>
      </w:r>
      <w:r w:rsidR="00DA731E">
        <w:rPr>
          <w:rFonts w:ascii="Humnst777 Lt BT" w:hAnsi="Humnst777 Lt BT"/>
          <w:sz w:val="24"/>
          <w:szCs w:val="24"/>
        </w:rPr>
        <w:t>Infrastructure &amp;</w:t>
      </w:r>
      <w:r w:rsidR="00DA731E" w:rsidRPr="007B2685">
        <w:rPr>
          <w:rFonts w:ascii="Humnst777 Lt BT" w:hAnsi="Humnst777 Lt BT"/>
          <w:sz w:val="24"/>
          <w:szCs w:val="24"/>
        </w:rPr>
        <w:t xml:space="preserve"> Projects Authority (</w:t>
      </w:r>
      <w:r w:rsidR="00DA731E">
        <w:rPr>
          <w:rFonts w:ascii="Humnst777 Lt BT" w:hAnsi="Humnst777 Lt BT"/>
          <w:sz w:val="24"/>
          <w:szCs w:val="24"/>
        </w:rPr>
        <w:t>I</w:t>
      </w:r>
      <w:r w:rsidR="00DA731E" w:rsidRPr="007B2685">
        <w:rPr>
          <w:rFonts w:ascii="Humnst777 Lt BT" w:hAnsi="Humnst777 Lt BT"/>
          <w:sz w:val="24"/>
          <w:szCs w:val="24"/>
        </w:rPr>
        <w:t>PA)</w:t>
      </w:r>
      <w:r w:rsidR="003732F3" w:rsidRPr="007B2685">
        <w:rPr>
          <w:rFonts w:ascii="Humnst777 Lt BT" w:hAnsi="Humnst777 Lt BT"/>
          <w:sz w:val="24"/>
          <w:szCs w:val="24"/>
        </w:rPr>
        <w:t xml:space="preserve"> will agree with the department a set of milestones </w:t>
      </w:r>
      <w:r w:rsidR="00DA731E">
        <w:rPr>
          <w:rFonts w:ascii="Humnst777 Lt BT" w:hAnsi="Humnst777 Lt BT"/>
          <w:sz w:val="24"/>
          <w:szCs w:val="24"/>
        </w:rPr>
        <w:t xml:space="preserve">as part of the project’s Integrated Assurance and Approval Plan (IAAP). </w:t>
      </w:r>
      <w:r w:rsidR="00C6105F">
        <w:rPr>
          <w:rFonts w:ascii="Humnst777 Lt BT" w:hAnsi="Humnst777 Lt BT"/>
          <w:sz w:val="24"/>
          <w:szCs w:val="24"/>
        </w:rPr>
        <w:t>The</w:t>
      </w:r>
      <w:r w:rsidR="00C6105F" w:rsidRPr="007B2685">
        <w:rPr>
          <w:rFonts w:ascii="Humnst777 Lt BT" w:hAnsi="Humnst777 Lt BT"/>
          <w:sz w:val="24"/>
          <w:szCs w:val="24"/>
        </w:rPr>
        <w:t xml:space="preserve"> </w:t>
      </w:r>
      <w:r w:rsidR="003732F3" w:rsidRPr="007B2685">
        <w:rPr>
          <w:rFonts w:ascii="Humnst777 Lt BT" w:hAnsi="Humnst777 Lt BT"/>
          <w:sz w:val="24"/>
          <w:szCs w:val="24"/>
        </w:rPr>
        <w:t xml:space="preserve">Treasury reserves the right to add further approval milestones where </w:t>
      </w:r>
      <w:proofErr w:type="gramStart"/>
      <w:r w:rsidR="003732F3" w:rsidRPr="007B2685">
        <w:rPr>
          <w:rFonts w:ascii="Humnst777 Lt BT" w:hAnsi="Humnst777 Lt BT"/>
          <w:sz w:val="24"/>
          <w:szCs w:val="24"/>
        </w:rPr>
        <w:t>necessary;</w:t>
      </w:r>
      <w:proofErr w:type="gramEnd"/>
    </w:p>
    <w:p w14:paraId="738F6827" w14:textId="12781A7D" w:rsidR="003732F3" w:rsidRPr="007B2685" w:rsidRDefault="003732F3" w:rsidP="006E41CF">
      <w:pPr>
        <w:pStyle w:val="ListParagraph"/>
        <w:numPr>
          <w:ilvl w:val="0"/>
          <w:numId w:val="8"/>
        </w:numPr>
        <w:spacing w:after="0"/>
        <w:jc w:val="both"/>
        <w:rPr>
          <w:rFonts w:ascii="Humnst777 Lt BT" w:hAnsi="Humnst777 Lt BT"/>
          <w:sz w:val="24"/>
          <w:szCs w:val="24"/>
        </w:rPr>
      </w:pPr>
      <w:r w:rsidRPr="007B2685">
        <w:rPr>
          <w:rFonts w:ascii="Humnst777 Lt BT" w:hAnsi="Humnst777 Lt BT"/>
          <w:sz w:val="24"/>
          <w:szCs w:val="24"/>
        </w:rPr>
        <w:t xml:space="preserve">the department must continue to provide </w:t>
      </w:r>
      <w:r w:rsidR="00C6105F">
        <w:rPr>
          <w:rFonts w:ascii="Humnst777 Lt BT" w:hAnsi="Humnst777 Lt BT"/>
          <w:sz w:val="24"/>
          <w:szCs w:val="24"/>
        </w:rPr>
        <w:t>the</w:t>
      </w:r>
      <w:r w:rsidR="00C6105F" w:rsidRPr="007B2685">
        <w:rPr>
          <w:rFonts w:ascii="Humnst777 Lt BT" w:hAnsi="Humnst777 Lt BT"/>
          <w:sz w:val="24"/>
          <w:szCs w:val="24"/>
        </w:rPr>
        <w:t xml:space="preserve"> </w:t>
      </w:r>
      <w:r w:rsidRPr="007B2685">
        <w:rPr>
          <w:rFonts w:ascii="Humnst777 Lt BT" w:hAnsi="Humnst777 Lt BT"/>
          <w:sz w:val="24"/>
          <w:szCs w:val="24"/>
        </w:rPr>
        <w:t xml:space="preserve">Treasury and the </w:t>
      </w:r>
      <w:r w:rsidR="007B2685">
        <w:rPr>
          <w:rFonts w:ascii="Humnst777 Lt BT" w:hAnsi="Humnst777 Lt BT"/>
          <w:sz w:val="24"/>
          <w:szCs w:val="24"/>
        </w:rPr>
        <w:t>Infrastructure &amp;</w:t>
      </w:r>
      <w:r w:rsidR="007B2685" w:rsidRPr="007B2685">
        <w:rPr>
          <w:rFonts w:ascii="Humnst777 Lt BT" w:hAnsi="Humnst777 Lt BT"/>
          <w:sz w:val="24"/>
          <w:szCs w:val="24"/>
        </w:rPr>
        <w:t xml:space="preserve"> </w:t>
      </w:r>
      <w:r w:rsidRPr="007B2685">
        <w:rPr>
          <w:rFonts w:ascii="Humnst777 Lt BT" w:hAnsi="Humnst777 Lt BT"/>
          <w:sz w:val="24"/>
          <w:szCs w:val="24"/>
        </w:rPr>
        <w:t>Projects Authority (</w:t>
      </w:r>
      <w:r w:rsidR="007B2685">
        <w:rPr>
          <w:rFonts w:ascii="Humnst777 Lt BT" w:hAnsi="Humnst777 Lt BT"/>
          <w:sz w:val="24"/>
          <w:szCs w:val="24"/>
        </w:rPr>
        <w:t>I</w:t>
      </w:r>
      <w:r w:rsidRPr="007B2685">
        <w:rPr>
          <w:rFonts w:ascii="Humnst777 Lt BT" w:hAnsi="Humnst777 Lt BT"/>
          <w:sz w:val="24"/>
          <w:szCs w:val="24"/>
        </w:rPr>
        <w:t xml:space="preserve">PA) with details of projects and programmes after FBC approval until the project or programme is operational, including on project performance, cost and time envelope, on a quarterly basis. This information will be collected via the </w:t>
      </w:r>
      <w:r w:rsidR="007B2685">
        <w:rPr>
          <w:rFonts w:ascii="Humnst777 Lt BT" w:hAnsi="Humnst777 Lt BT"/>
          <w:sz w:val="24"/>
          <w:szCs w:val="24"/>
        </w:rPr>
        <w:t>I</w:t>
      </w:r>
      <w:r w:rsidRPr="007B2685">
        <w:rPr>
          <w:rFonts w:ascii="Humnst777 Lt BT" w:hAnsi="Humnst777 Lt BT"/>
          <w:sz w:val="24"/>
          <w:szCs w:val="24"/>
        </w:rPr>
        <w:t>PA’s Government Major Project Portfolio</w:t>
      </w:r>
      <w:r w:rsidR="007B2685">
        <w:rPr>
          <w:rFonts w:ascii="Humnst777 Lt BT" w:hAnsi="Humnst777 Lt BT"/>
          <w:sz w:val="24"/>
          <w:szCs w:val="24"/>
        </w:rPr>
        <w:t xml:space="preserve"> (GMPP)</w:t>
      </w:r>
      <w:r w:rsidRPr="007B2685">
        <w:rPr>
          <w:rFonts w:ascii="Humnst777 Lt BT" w:hAnsi="Humnst777 Lt BT"/>
          <w:sz w:val="24"/>
          <w:szCs w:val="24"/>
        </w:rPr>
        <w:t xml:space="preserve">; and </w:t>
      </w:r>
    </w:p>
    <w:p w14:paraId="5F9B9A26" w14:textId="7D0CD462" w:rsidR="003732F3" w:rsidRDefault="003732F3" w:rsidP="00A071ED">
      <w:pPr>
        <w:pStyle w:val="ListParagraph"/>
        <w:numPr>
          <w:ilvl w:val="0"/>
          <w:numId w:val="8"/>
        </w:numPr>
        <w:spacing w:after="0"/>
        <w:jc w:val="both"/>
        <w:rPr>
          <w:rFonts w:ascii="Humnst777 Lt BT" w:hAnsi="Humnst777 Lt BT"/>
          <w:sz w:val="24"/>
          <w:szCs w:val="24"/>
        </w:rPr>
      </w:pPr>
      <w:r w:rsidRPr="007B2685">
        <w:rPr>
          <w:rFonts w:ascii="Humnst777 Lt BT" w:hAnsi="Humnst777 Lt BT"/>
          <w:sz w:val="24"/>
          <w:szCs w:val="24"/>
        </w:rPr>
        <w:t xml:space="preserve">the department is required to share its post-implementation review for each project with </w:t>
      </w:r>
      <w:r w:rsidR="0056306E">
        <w:rPr>
          <w:rFonts w:ascii="Humnst777 Lt BT" w:hAnsi="Humnst777 Lt BT"/>
          <w:sz w:val="24"/>
          <w:szCs w:val="24"/>
        </w:rPr>
        <w:t>HM</w:t>
      </w:r>
      <w:r w:rsidRPr="007B2685">
        <w:rPr>
          <w:rFonts w:ascii="Humnst777 Lt BT" w:hAnsi="Humnst777 Lt BT"/>
          <w:sz w:val="24"/>
          <w:szCs w:val="24"/>
        </w:rPr>
        <w:t xml:space="preserve"> Treasury</w:t>
      </w:r>
      <w:r w:rsidR="00DA731E">
        <w:rPr>
          <w:rFonts w:ascii="Humnst777 Lt BT" w:hAnsi="Humnst777 Lt BT"/>
          <w:sz w:val="24"/>
          <w:szCs w:val="24"/>
        </w:rPr>
        <w:t xml:space="preserve"> and the IPA</w:t>
      </w:r>
      <w:r w:rsidRPr="007B2685">
        <w:rPr>
          <w:rFonts w:ascii="Humnst777 Lt BT" w:hAnsi="Humnst777 Lt BT"/>
          <w:sz w:val="24"/>
          <w:szCs w:val="24"/>
        </w:rPr>
        <w:t xml:space="preserve">. </w:t>
      </w:r>
    </w:p>
    <w:p w14:paraId="6F7598EA" w14:textId="77777777" w:rsidR="008A6568" w:rsidRPr="006E41CF" w:rsidRDefault="008A6568" w:rsidP="006E41CF">
      <w:pPr>
        <w:spacing w:after="0"/>
        <w:jc w:val="both"/>
        <w:rPr>
          <w:rFonts w:ascii="Humnst777 Lt BT" w:hAnsi="Humnst777 Lt BT"/>
          <w:sz w:val="24"/>
          <w:szCs w:val="24"/>
        </w:rPr>
      </w:pPr>
    </w:p>
    <w:p w14:paraId="72C6B22E" w14:textId="34043843" w:rsidR="00C27442" w:rsidRDefault="00C27442" w:rsidP="00A071ED">
      <w:pPr>
        <w:spacing w:after="0"/>
        <w:jc w:val="both"/>
        <w:rPr>
          <w:rFonts w:ascii="Humnst777 Lt BT" w:hAnsi="Humnst777 Lt BT"/>
          <w:sz w:val="24"/>
          <w:szCs w:val="24"/>
        </w:rPr>
      </w:pPr>
      <w:r w:rsidRPr="002838EE">
        <w:rPr>
          <w:rFonts w:ascii="Humnst777 Lt BT" w:hAnsi="Humnst777 Lt BT"/>
          <w:sz w:val="24"/>
          <w:szCs w:val="24"/>
        </w:rPr>
        <w:t>Where this is not the case, or where departments do not accept IPA recommendation</w:t>
      </w:r>
      <w:r w:rsidR="004A049A" w:rsidRPr="002838EE">
        <w:rPr>
          <w:rFonts w:ascii="Humnst777 Lt BT" w:hAnsi="Humnst777 Lt BT"/>
          <w:sz w:val="24"/>
          <w:szCs w:val="24"/>
        </w:rPr>
        <w:t>s,</w:t>
      </w:r>
      <w:r w:rsidRPr="002838EE">
        <w:rPr>
          <w:rFonts w:ascii="Humnst777 Lt BT" w:hAnsi="Humnst777 Lt BT"/>
          <w:sz w:val="24"/>
          <w:szCs w:val="24"/>
        </w:rPr>
        <w:t xml:space="preserve"> </w:t>
      </w:r>
      <w:r w:rsidR="00C6105F">
        <w:rPr>
          <w:rFonts w:ascii="Humnst777 Lt BT" w:hAnsi="Humnst777 Lt BT"/>
          <w:sz w:val="24"/>
          <w:szCs w:val="24"/>
        </w:rPr>
        <w:t>the</w:t>
      </w:r>
      <w:r w:rsidR="00C6105F" w:rsidRPr="002838EE">
        <w:rPr>
          <w:rFonts w:ascii="Humnst777 Lt BT" w:hAnsi="Humnst777 Lt BT"/>
          <w:sz w:val="24"/>
          <w:szCs w:val="24"/>
        </w:rPr>
        <w:t xml:space="preserve"> </w:t>
      </w:r>
      <w:r w:rsidRPr="002838EE">
        <w:rPr>
          <w:rFonts w:ascii="Humnst777 Lt BT" w:hAnsi="Humnst777 Lt BT"/>
          <w:sz w:val="24"/>
          <w:szCs w:val="24"/>
        </w:rPr>
        <w:t>Treasury will consider withholding funding until it is satisfied the recommendations have been properly implemented or considered.</w:t>
      </w:r>
    </w:p>
    <w:p w14:paraId="5A1094C6" w14:textId="77777777" w:rsidR="008A6568" w:rsidRPr="007B2685" w:rsidRDefault="008A6568" w:rsidP="006E41CF">
      <w:pPr>
        <w:spacing w:after="0"/>
        <w:jc w:val="both"/>
        <w:rPr>
          <w:rFonts w:ascii="Humnst777 Lt BT" w:hAnsi="Humnst777 Lt BT"/>
          <w:b/>
          <w:sz w:val="24"/>
          <w:szCs w:val="24"/>
        </w:rPr>
      </w:pPr>
    </w:p>
    <w:p w14:paraId="4928615F" w14:textId="77777777" w:rsidR="003732F3" w:rsidRPr="00390C9E" w:rsidRDefault="003732F3" w:rsidP="006E41CF">
      <w:pPr>
        <w:pStyle w:val="Heading3"/>
        <w:spacing w:before="0"/>
        <w:rPr>
          <w:rFonts w:ascii="Humnst777 Lt BT" w:hAnsi="Humnst777 Lt BT"/>
          <w:color w:val="0070C0"/>
          <w:sz w:val="24"/>
          <w:szCs w:val="24"/>
        </w:rPr>
      </w:pPr>
      <w:r w:rsidRPr="00390C9E">
        <w:rPr>
          <w:rFonts w:ascii="Humnst777 Lt BT" w:hAnsi="Humnst777 Lt BT"/>
          <w:color w:val="0070C0"/>
          <w:sz w:val="24"/>
          <w:szCs w:val="24"/>
        </w:rPr>
        <w:t>Project reporting</w:t>
      </w:r>
    </w:p>
    <w:p w14:paraId="2D2C5381" w14:textId="77777777" w:rsidR="007B2685" w:rsidRPr="007B2685" w:rsidRDefault="007B2685" w:rsidP="00A071ED">
      <w:pPr>
        <w:shd w:val="clear" w:color="auto" w:fill="FFFFFF"/>
        <w:spacing w:after="0"/>
        <w:jc w:val="both"/>
        <w:rPr>
          <w:rFonts w:ascii="Humnst777 Lt BT" w:hAnsi="Humnst777 Lt BT" w:cs="Arial"/>
          <w:iCs/>
          <w:color w:val="222222"/>
          <w:sz w:val="24"/>
          <w:szCs w:val="24"/>
        </w:rPr>
      </w:pPr>
      <w:r w:rsidRPr="007B2685">
        <w:rPr>
          <w:rFonts w:ascii="Humnst777 Lt BT" w:hAnsi="Humnst777 Lt BT" w:cs="Arial"/>
          <w:iCs/>
          <w:color w:val="222222"/>
          <w:sz w:val="24"/>
          <w:szCs w:val="24"/>
        </w:rPr>
        <w:t>In addition to setting delegated limits, we are also maintaining lower disclosure thresholds for projects and programmes as set out in Annex A.</w:t>
      </w:r>
    </w:p>
    <w:p w14:paraId="188C351C" w14:textId="77777777" w:rsidR="007B2685" w:rsidRPr="007B2685" w:rsidRDefault="007B2685" w:rsidP="008A6568">
      <w:pPr>
        <w:shd w:val="clear" w:color="auto" w:fill="FFFFFF"/>
        <w:spacing w:after="0"/>
        <w:jc w:val="both"/>
        <w:rPr>
          <w:rFonts w:ascii="Humnst777 Lt BT" w:hAnsi="Humnst777 Lt BT" w:cs="Arial"/>
          <w:iCs/>
          <w:color w:val="222222"/>
          <w:sz w:val="24"/>
          <w:szCs w:val="24"/>
        </w:rPr>
      </w:pPr>
    </w:p>
    <w:p w14:paraId="55DE4451" w14:textId="73E59342" w:rsidR="007B2685" w:rsidRPr="007B2685" w:rsidRDefault="007B2685" w:rsidP="005F1D7A">
      <w:pPr>
        <w:shd w:val="clear" w:color="auto" w:fill="FFFFFF"/>
        <w:spacing w:after="0"/>
        <w:jc w:val="both"/>
        <w:rPr>
          <w:rFonts w:ascii="Humnst777 Lt BT" w:hAnsi="Humnst777 Lt BT" w:cs="Arial"/>
          <w:iCs/>
          <w:color w:val="222222"/>
          <w:sz w:val="24"/>
          <w:szCs w:val="24"/>
        </w:rPr>
      </w:pPr>
      <w:r w:rsidRPr="007B2685">
        <w:rPr>
          <w:rFonts w:ascii="Humnst777 Lt BT" w:hAnsi="Humnst777 Lt BT" w:cs="Arial"/>
          <w:iCs/>
          <w:color w:val="222222"/>
          <w:sz w:val="24"/>
          <w:szCs w:val="24"/>
        </w:rPr>
        <w:t>To facilitate effective</w:t>
      </w:r>
      <w:r w:rsidR="0056306E">
        <w:rPr>
          <w:rFonts w:ascii="Humnst777 Lt BT" w:hAnsi="Humnst777 Lt BT" w:cs="Arial"/>
          <w:iCs/>
          <w:color w:val="222222"/>
          <w:sz w:val="24"/>
          <w:szCs w:val="24"/>
        </w:rPr>
        <w:t xml:space="preserve"> </w:t>
      </w:r>
      <w:r w:rsidRPr="007B2685">
        <w:rPr>
          <w:rFonts w:ascii="Humnst777 Lt BT" w:hAnsi="Humnst777 Lt BT" w:cs="Arial"/>
          <w:iCs/>
          <w:color w:val="222222"/>
          <w:sz w:val="24"/>
          <w:szCs w:val="24"/>
        </w:rPr>
        <w:t xml:space="preserve">Treasury oversight and knowledge of departmental spending, and Cabinet Office oversight of delivery risk and capability, </w:t>
      </w:r>
      <w:r w:rsidR="00A02439">
        <w:rPr>
          <w:rFonts w:ascii="Humnst777 Lt BT" w:hAnsi="Humnst777 Lt BT" w:cs="Arial"/>
          <w:iCs/>
          <w:color w:val="222222"/>
          <w:sz w:val="24"/>
          <w:szCs w:val="24"/>
        </w:rPr>
        <w:t xml:space="preserve">the </w:t>
      </w:r>
      <w:r w:rsidR="00AC31D8" w:rsidRPr="00A1513E">
        <w:rPr>
          <w:rFonts w:ascii="Humnst777 Lt BT" w:hAnsi="Humnst777 Lt BT"/>
          <w:b/>
          <w:color w:val="2E74B5" w:themeColor="accent1" w:themeShade="BF"/>
          <w:sz w:val="24"/>
          <w:szCs w:val="24"/>
        </w:rPr>
        <w:t>[Department name]</w:t>
      </w:r>
      <w:r w:rsidR="00AC31D8">
        <w:rPr>
          <w:rFonts w:ascii="Humnst777 Lt BT" w:hAnsi="Humnst777 Lt BT"/>
          <w:b/>
          <w:color w:val="2E74B5" w:themeColor="accent1" w:themeShade="BF"/>
          <w:sz w:val="24"/>
          <w:szCs w:val="24"/>
        </w:rPr>
        <w:t xml:space="preserve"> </w:t>
      </w:r>
      <w:r w:rsidRPr="007B2685">
        <w:rPr>
          <w:rFonts w:ascii="Humnst777 Lt BT" w:hAnsi="Humnst777 Lt BT" w:cs="Arial"/>
          <w:iCs/>
          <w:color w:val="222222"/>
          <w:sz w:val="24"/>
          <w:szCs w:val="24"/>
        </w:rPr>
        <w:t>is required, on a quarterly basis, to provide the Treasury spending team, and relevant IPA contact, with information on projects whose whole life costs fall outside, or are likely to fall outside, delegated authorities or exceed disclosure thresholds. The quarterly GMPP process provides the primary means of collecting the information, which includes:</w:t>
      </w:r>
    </w:p>
    <w:p w14:paraId="4AEFCCC3" w14:textId="77777777"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 xml:space="preserve">project </w:t>
      </w:r>
      <w:proofErr w:type="gramStart"/>
      <w:r w:rsidRPr="007B2685">
        <w:rPr>
          <w:rFonts w:ascii="Humnst777 Lt BT" w:hAnsi="Humnst777 Lt BT" w:cs="Arial"/>
          <w:iCs/>
          <w:color w:val="222222"/>
          <w:sz w:val="24"/>
          <w:szCs w:val="24"/>
        </w:rPr>
        <w:t>summary;</w:t>
      </w:r>
      <w:proofErr w:type="gramEnd"/>
    </w:p>
    <w:p w14:paraId="6C8F3FE9" w14:textId="1BCA7D43"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the lifecycle stage, the next significant milestone</w:t>
      </w:r>
      <w:r w:rsidR="006237EE">
        <w:rPr>
          <w:rFonts w:ascii="Humnst777 Lt BT" w:hAnsi="Humnst777 Lt BT" w:cs="Arial"/>
          <w:iCs/>
          <w:color w:val="222222"/>
          <w:sz w:val="24"/>
          <w:szCs w:val="24"/>
        </w:rPr>
        <w:t>,</w:t>
      </w:r>
      <w:r w:rsidRPr="007B2685">
        <w:rPr>
          <w:rFonts w:ascii="Humnst777 Lt BT" w:hAnsi="Humnst777 Lt BT" w:cs="Arial"/>
          <w:iCs/>
          <w:color w:val="222222"/>
          <w:sz w:val="24"/>
          <w:szCs w:val="24"/>
        </w:rPr>
        <w:t xml:space="preserve"> and when that is likely to take </w:t>
      </w:r>
      <w:proofErr w:type="gramStart"/>
      <w:r w:rsidRPr="007B2685">
        <w:rPr>
          <w:rFonts w:ascii="Humnst777 Lt BT" w:hAnsi="Humnst777 Lt BT" w:cs="Arial"/>
          <w:iCs/>
          <w:color w:val="222222"/>
          <w:sz w:val="24"/>
          <w:szCs w:val="24"/>
        </w:rPr>
        <w:t>place;</w:t>
      </w:r>
      <w:proofErr w:type="gramEnd"/>
    </w:p>
    <w:p w14:paraId="4E93BD23" w14:textId="77777777"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 xml:space="preserve">annual project costs and whole life costs, in government budgeting </w:t>
      </w:r>
      <w:proofErr w:type="gramStart"/>
      <w:r w:rsidRPr="007B2685">
        <w:rPr>
          <w:rFonts w:ascii="Humnst777 Lt BT" w:hAnsi="Humnst777 Lt BT" w:cs="Arial"/>
          <w:iCs/>
          <w:color w:val="222222"/>
          <w:sz w:val="24"/>
          <w:szCs w:val="24"/>
        </w:rPr>
        <w:t>terms;</w:t>
      </w:r>
      <w:proofErr w:type="gramEnd"/>
    </w:p>
    <w:p w14:paraId="14CBCC59" w14:textId="77777777"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 xml:space="preserve">where appropriate, the NPV of the project or </w:t>
      </w:r>
      <w:proofErr w:type="gramStart"/>
      <w:r w:rsidRPr="007B2685">
        <w:rPr>
          <w:rFonts w:ascii="Humnst777 Lt BT" w:hAnsi="Humnst777 Lt BT" w:cs="Arial"/>
          <w:iCs/>
          <w:color w:val="222222"/>
          <w:sz w:val="24"/>
          <w:szCs w:val="24"/>
        </w:rPr>
        <w:t>programme;</w:t>
      </w:r>
      <w:proofErr w:type="gramEnd"/>
    </w:p>
    <w:p w14:paraId="696B23A2" w14:textId="77777777"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 xml:space="preserve">delivery </w:t>
      </w:r>
      <w:proofErr w:type="gramStart"/>
      <w:r w:rsidRPr="007B2685">
        <w:rPr>
          <w:rFonts w:ascii="Humnst777 Lt BT" w:hAnsi="Humnst777 Lt BT" w:cs="Arial"/>
          <w:iCs/>
          <w:color w:val="222222"/>
          <w:sz w:val="24"/>
          <w:szCs w:val="24"/>
        </w:rPr>
        <w:t>confidence;</w:t>
      </w:r>
      <w:proofErr w:type="gramEnd"/>
    </w:p>
    <w:p w14:paraId="4E42EB9F" w14:textId="77777777"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lastRenderedPageBreak/>
        <w:t xml:space="preserve">the relative priority of the project in the department’s project </w:t>
      </w:r>
      <w:proofErr w:type="gramStart"/>
      <w:r w:rsidRPr="007B2685">
        <w:rPr>
          <w:rFonts w:ascii="Humnst777 Lt BT" w:hAnsi="Humnst777 Lt BT" w:cs="Arial"/>
          <w:iCs/>
          <w:color w:val="222222"/>
          <w:sz w:val="24"/>
          <w:szCs w:val="24"/>
        </w:rPr>
        <w:t>portfolio;</w:t>
      </w:r>
      <w:proofErr w:type="gramEnd"/>
    </w:p>
    <w:p w14:paraId="78561092" w14:textId="77777777"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the future timetable; and</w:t>
      </w:r>
    </w:p>
    <w:p w14:paraId="18C69AC4" w14:textId="6B72FC25" w:rsidR="007B2685" w:rsidRPr="007B2685" w:rsidRDefault="007B2685" w:rsidP="006E41CF">
      <w:pPr>
        <w:numPr>
          <w:ilvl w:val="0"/>
          <w:numId w:val="16"/>
        </w:numPr>
        <w:shd w:val="clear" w:color="auto" w:fill="FFFFFF"/>
        <w:spacing w:after="0"/>
        <w:contextualSpacing/>
        <w:jc w:val="both"/>
        <w:rPr>
          <w:rFonts w:ascii="Humnst777 Lt BT" w:hAnsi="Humnst777 Lt BT" w:cs="Arial"/>
          <w:color w:val="222222"/>
          <w:sz w:val="24"/>
          <w:szCs w:val="24"/>
        </w:rPr>
      </w:pPr>
      <w:r w:rsidRPr="007B2685">
        <w:rPr>
          <w:rFonts w:ascii="Humnst777 Lt BT" w:hAnsi="Humnst777 Lt BT" w:cs="Arial"/>
          <w:iCs/>
          <w:color w:val="222222"/>
          <w:sz w:val="24"/>
          <w:szCs w:val="24"/>
        </w:rPr>
        <w:t xml:space="preserve">where applicable, the date and amount of any existing approval from </w:t>
      </w:r>
      <w:r w:rsidR="0056306E">
        <w:rPr>
          <w:rFonts w:ascii="Humnst777 Lt BT" w:hAnsi="Humnst777 Lt BT" w:cs="Arial"/>
          <w:iCs/>
          <w:color w:val="222222"/>
          <w:sz w:val="24"/>
          <w:szCs w:val="24"/>
        </w:rPr>
        <w:t>HM</w:t>
      </w:r>
      <w:r w:rsidRPr="007B2685">
        <w:rPr>
          <w:rFonts w:ascii="Humnst777 Lt BT" w:hAnsi="Humnst777 Lt BT" w:cs="Arial"/>
          <w:iCs/>
          <w:color w:val="222222"/>
          <w:sz w:val="24"/>
          <w:szCs w:val="24"/>
        </w:rPr>
        <w:t xml:space="preserve"> Treasury.</w:t>
      </w:r>
    </w:p>
    <w:p w14:paraId="162C1012" w14:textId="77777777" w:rsidR="007B2685" w:rsidRPr="007B2685" w:rsidRDefault="007B2685" w:rsidP="00A071ED">
      <w:pPr>
        <w:shd w:val="clear" w:color="auto" w:fill="FFFFFF"/>
        <w:spacing w:after="0"/>
        <w:jc w:val="both"/>
        <w:rPr>
          <w:rFonts w:ascii="Humnst777 Lt BT" w:hAnsi="Humnst777 Lt BT" w:cs="Arial"/>
          <w:iCs/>
          <w:color w:val="222222"/>
          <w:sz w:val="24"/>
          <w:szCs w:val="24"/>
        </w:rPr>
      </w:pPr>
    </w:p>
    <w:p w14:paraId="3371453A" w14:textId="7F85D22A" w:rsidR="007B2685" w:rsidRPr="007B2685" w:rsidRDefault="00A326A2" w:rsidP="008A6568">
      <w:pPr>
        <w:shd w:val="clear" w:color="auto" w:fill="FFFFFF"/>
        <w:spacing w:after="0"/>
        <w:jc w:val="both"/>
        <w:rPr>
          <w:rFonts w:ascii="Humnst777 Lt BT" w:hAnsi="Humnst777 Lt BT" w:cs="Arial"/>
          <w:iCs/>
          <w:color w:val="222222"/>
          <w:sz w:val="24"/>
          <w:szCs w:val="24"/>
        </w:rPr>
      </w:pPr>
      <w:r>
        <w:rPr>
          <w:rFonts w:ascii="Humnst777 Lt BT" w:hAnsi="Humnst777 Lt BT" w:cs="Arial"/>
          <w:iCs/>
          <w:color w:val="222222"/>
          <w:sz w:val="24"/>
          <w:szCs w:val="24"/>
        </w:rPr>
        <w:t>The</w:t>
      </w:r>
      <w:r w:rsidRPr="007B2685">
        <w:rPr>
          <w:rFonts w:ascii="Humnst777 Lt BT" w:hAnsi="Humnst777 Lt BT" w:cs="Arial"/>
          <w:iCs/>
          <w:color w:val="222222"/>
          <w:sz w:val="24"/>
          <w:szCs w:val="24"/>
        </w:rPr>
        <w:t xml:space="preserve"> </w:t>
      </w:r>
      <w:r w:rsidR="007B2685" w:rsidRPr="007B2685">
        <w:rPr>
          <w:rFonts w:ascii="Humnst777 Lt BT" w:hAnsi="Humnst777 Lt BT" w:cs="Arial"/>
          <w:iCs/>
          <w:color w:val="222222"/>
          <w:sz w:val="24"/>
          <w:szCs w:val="24"/>
        </w:rPr>
        <w:t>Treasury will normally only approve projects and programmes outside delegated authorities where departments comply with this and associated processes to prioritise and rank their portfolio(s).</w:t>
      </w:r>
    </w:p>
    <w:p w14:paraId="1B798EE0" w14:textId="77777777" w:rsidR="007B2685" w:rsidRPr="007B2685" w:rsidRDefault="007B2685" w:rsidP="008A6568">
      <w:pPr>
        <w:shd w:val="clear" w:color="auto" w:fill="FFFFFF"/>
        <w:spacing w:after="0"/>
        <w:jc w:val="both"/>
        <w:rPr>
          <w:rFonts w:ascii="Humnst777 Lt BT" w:hAnsi="Humnst777 Lt BT" w:cs="Arial"/>
          <w:color w:val="222222"/>
          <w:sz w:val="24"/>
          <w:szCs w:val="24"/>
        </w:rPr>
      </w:pPr>
    </w:p>
    <w:p w14:paraId="216AE1D2" w14:textId="77777777" w:rsidR="007B2685" w:rsidRPr="007B2685" w:rsidRDefault="007B2685" w:rsidP="006E41CF">
      <w:pPr>
        <w:shd w:val="clear" w:color="auto" w:fill="FFFFFF"/>
        <w:spacing w:after="0"/>
        <w:jc w:val="both"/>
        <w:rPr>
          <w:rFonts w:ascii="Humnst777 Lt BT" w:hAnsi="Humnst777 Lt BT" w:cs="Arial"/>
          <w:iCs/>
          <w:color w:val="222222"/>
          <w:sz w:val="24"/>
          <w:szCs w:val="24"/>
        </w:rPr>
      </w:pPr>
      <w:r w:rsidRPr="007B2685">
        <w:rPr>
          <w:rFonts w:ascii="Humnst777 Lt BT" w:hAnsi="Humnst777 Lt BT" w:cs="Arial"/>
          <w:iCs/>
          <w:color w:val="222222"/>
          <w:sz w:val="24"/>
          <w:szCs w:val="24"/>
        </w:rPr>
        <w:t>This process includes all initiatives outside delegated authorities or above disclosure thresholds, including:</w:t>
      </w:r>
    </w:p>
    <w:p w14:paraId="1C6602D8" w14:textId="77777777" w:rsidR="007B2685" w:rsidRPr="007B2685" w:rsidRDefault="007B2685" w:rsidP="006E41CF">
      <w:pPr>
        <w:numPr>
          <w:ilvl w:val="0"/>
          <w:numId w:val="17"/>
        </w:numPr>
        <w:shd w:val="clear" w:color="auto" w:fill="FFFFFF"/>
        <w:spacing w:after="0"/>
        <w:contextualSpacing/>
        <w:jc w:val="both"/>
        <w:rPr>
          <w:rFonts w:ascii="Humnst777 Lt BT" w:hAnsi="Humnst777 Lt BT" w:cs="Arial"/>
          <w:iCs/>
          <w:color w:val="222222"/>
          <w:sz w:val="24"/>
          <w:szCs w:val="24"/>
        </w:rPr>
      </w:pPr>
      <w:r w:rsidRPr="007B2685">
        <w:rPr>
          <w:rFonts w:ascii="Humnst777 Lt BT" w:hAnsi="Humnst777 Lt BT" w:cs="Arial"/>
          <w:iCs/>
          <w:color w:val="222222"/>
          <w:sz w:val="24"/>
          <w:szCs w:val="24"/>
        </w:rPr>
        <w:t>those that are identified within your department as in development, as well as serious options where project or programme initiation is envisaged; and</w:t>
      </w:r>
    </w:p>
    <w:p w14:paraId="1087CBDF" w14:textId="423430A2" w:rsidR="007B2685" w:rsidRPr="007B2685" w:rsidRDefault="007B2685" w:rsidP="006E41CF">
      <w:pPr>
        <w:numPr>
          <w:ilvl w:val="0"/>
          <w:numId w:val="17"/>
        </w:numPr>
        <w:shd w:val="clear" w:color="auto" w:fill="FFFFFF"/>
        <w:spacing w:after="0"/>
        <w:contextualSpacing/>
        <w:jc w:val="both"/>
        <w:rPr>
          <w:rFonts w:ascii="Humnst777 Lt BT" w:hAnsi="Humnst777 Lt BT" w:cs="Arial"/>
          <w:iCs/>
          <w:color w:val="222222"/>
          <w:sz w:val="24"/>
          <w:szCs w:val="24"/>
        </w:rPr>
      </w:pPr>
      <w:r w:rsidRPr="007B2685">
        <w:rPr>
          <w:rFonts w:ascii="Humnst777 Lt BT" w:hAnsi="Humnst777 Lt BT" w:cs="Arial"/>
          <w:iCs/>
          <w:color w:val="222222"/>
          <w:sz w:val="24"/>
          <w:szCs w:val="24"/>
        </w:rPr>
        <w:t xml:space="preserve">the projects and programmes of </w:t>
      </w:r>
      <w:r w:rsidR="00A02439">
        <w:rPr>
          <w:rFonts w:ascii="Humnst777 Lt BT" w:hAnsi="Humnst777 Lt BT" w:cs="Arial"/>
          <w:iCs/>
          <w:color w:val="222222"/>
          <w:sz w:val="24"/>
          <w:szCs w:val="24"/>
        </w:rPr>
        <w:t xml:space="preserve">the </w:t>
      </w:r>
      <w:r w:rsidR="00A071ED" w:rsidRPr="00A1513E">
        <w:rPr>
          <w:rFonts w:ascii="Humnst777 Lt BT" w:hAnsi="Humnst777 Lt BT"/>
          <w:b/>
          <w:color w:val="2E74B5" w:themeColor="accent1" w:themeShade="BF"/>
          <w:sz w:val="24"/>
          <w:szCs w:val="24"/>
        </w:rPr>
        <w:t>[Department name]</w:t>
      </w:r>
      <w:r w:rsidR="00A071ED">
        <w:rPr>
          <w:rFonts w:ascii="Humnst777 Lt BT" w:hAnsi="Humnst777 Lt BT"/>
          <w:b/>
          <w:color w:val="2E74B5" w:themeColor="accent1" w:themeShade="BF"/>
          <w:sz w:val="24"/>
          <w:szCs w:val="24"/>
        </w:rPr>
        <w:t>’s</w:t>
      </w:r>
      <w:r w:rsidRPr="007B2685">
        <w:rPr>
          <w:rFonts w:ascii="Humnst777 Lt BT" w:hAnsi="Humnst777 Lt BT" w:cs="Arial"/>
          <w:iCs/>
          <w:color w:val="222222"/>
          <w:sz w:val="24"/>
          <w:szCs w:val="24"/>
        </w:rPr>
        <w:t xml:space="preserve"> executive agencies, non-departmental public bodies</w:t>
      </w:r>
      <w:r w:rsidR="006237EE">
        <w:rPr>
          <w:rFonts w:ascii="Humnst777 Lt BT" w:hAnsi="Humnst777 Lt BT" w:cs="Arial"/>
          <w:iCs/>
          <w:color w:val="222222"/>
          <w:sz w:val="24"/>
          <w:szCs w:val="24"/>
        </w:rPr>
        <w:t>,</w:t>
      </w:r>
      <w:r w:rsidRPr="007B2685">
        <w:rPr>
          <w:rFonts w:ascii="Humnst777 Lt BT" w:hAnsi="Humnst777 Lt BT" w:cs="Arial"/>
          <w:iCs/>
          <w:color w:val="222222"/>
          <w:sz w:val="24"/>
          <w:szCs w:val="24"/>
        </w:rPr>
        <w:t xml:space="preserve"> or other sponsored bodies.</w:t>
      </w:r>
    </w:p>
    <w:p w14:paraId="44A4F4B7" w14:textId="77777777" w:rsidR="007B2685" w:rsidRPr="007B2685" w:rsidRDefault="007B2685" w:rsidP="00A071ED">
      <w:pPr>
        <w:shd w:val="clear" w:color="auto" w:fill="FFFFFF"/>
        <w:spacing w:after="0"/>
        <w:jc w:val="both"/>
        <w:rPr>
          <w:rFonts w:ascii="Humnst777 Lt BT" w:hAnsi="Humnst777 Lt BT" w:cs="Arial"/>
          <w:iCs/>
          <w:color w:val="222222"/>
          <w:sz w:val="24"/>
          <w:szCs w:val="24"/>
        </w:rPr>
      </w:pPr>
    </w:p>
    <w:p w14:paraId="074CEDFF" w14:textId="77777777" w:rsidR="007B2685" w:rsidRPr="007B2685" w:rsidRDefault="007B2685" w:rsidP="00A071ED">
      <w:pPr>
        <w:spacing w:after="0"/>
        <w:jc w:val="both"/>
        <w:rPr>
          <w:rFonts w:ascii="Humnst777 Lt BT" w:hAnsi="Humnst777 Lt BT" w:cs="Tahoma"/>
          <w:sz w:val="24"/>
          <w:szCs w:val="24"/>
          <w:lang w:eastAsia="en-US"/>
        </w:rPr>
      </w:pPr>
      <w:r w:rsidRPr="007B2685">
        <w:rPr>
          <w:rFonts w:ascii="Humnst777 Lt BT" w:hAnsi="Humnst777 Lt BT" w:cs="Tahoma"/>
          <w:sz w:val="24"/>
          <w:szCs w:val="24"/>
          <w:lang w:eastAsia="en-US"/>
        </w:rPr>
        <w:t>For any new initiative which is: </w:t>
      </w:r>
    </w:p>
    <w:p w14:paraId="2D52F720" w14:textId="77777777" w:rsidR="007B2685" w:rsidRPr="007B2685" w:rsidRDefault="007B2685" w:rsidP="006E41CF">
      <w:pPr>
        <w:numPr>
          <w:ilvl w:val="0"/>
          <w:numId w:val="18"/>
        </w:numPr>
        <w:spacing w:after="0"/>
        <w:ind w:left="709" w:hanging="425"/>
        <w:contextualSpacing/>
        <w:jc w:val="both"/>
        <w:rPr>
          <w:rFonts w:ascii="Humnst777 Lt BT" w:eastAsiaTheme="minorHAnsi" w:hAnsi="Humnst777 Lt BT" w:cs="Tahoma"/>
          <w:sz w:val="24"/>
          <w:lang w:eastAsia="en-US"/>
        </w:rPr>
      </w:pPr>
      <w:r w:rsidRPr="007B2685">
        <w:rPr>
          <w:rFonts w:ascii="Humnst777 Lt BT" w:eastAsiaTheme="minorHAnsi" w:hAnsi="Humnst777 Lt BT" w:cs="Tahoma"/>
          <w:sz w:val="24"/>
          <w:lang w:eastAsia="en-US"/>
        </w:rPr>
        <w:t>likely to fall outside the relevant delegated authorities; or</w:t>
      </w:r>
    </w:p>
    <w:p w14:paraId="62DF55E6" w14:textId="77777777" w:rsidR="007B2685" w:rsidRPr="007B2685" w:rsidRDefault="007B2685" w:rsidP="006E41CF">
      <w:pPr>
        <w:numPr>
          <w:ilvl w:val="0"/>
          <w:numId w:val="18"/>
        </w:numPr>
        <w:spacing w:after="0"/>
        <w:ind w:left="709" w:hanging="425"/>
        <w:contextualSpacing/>
        <w:jc w:val="both"/>
        <w:rPr>
          <w:rFonts w:ascii="Humnst777 Lt BT" w:eastAsiaTheme="minorHAnsi" w:hAnsi="Humnst777 Lt BT" w:cs="Tahoma"/>
          <w:sz w:val="24"/>
          <w:lang w:eastAsia="en-US"/>
        </w:rPr>
      </w:pPr>
      <w:r w:rsidRPr="007B2685">
        <w:rPr>
          <w:rFonts w:ascii="Humnst777 Lt BT" w:eastAsiaTheme="minorHAnsi" w:hAnsi="Humnst777 Lt BT" w:cs="Tahoma"/>
          <w:sz w:val="24"/>
          <w:lang w:eastAsia="en-US"/>
        </w:rPr>
        <w:t>requires specific functional input or technical expertise (e.g. finance; digital; infrastructure; construction etc); or</w:t>
      </w:r>
    </w:p>
    <w:p w14:paraId="2CEF3924" w14:textId="673A80A7" w:rsidR="007B2685" w:rsidRPr="007B2685" w:rsidRDefault="007B2685" w:rsidP="006E41CF">
      <w:pPr>
        <w:numPr>
          <w:ilvl w:val="0"/>
          <w:numId w:val="18"/>
        </w:numPr>
        <w:spacing w:after="0"/>
        <w:ind w:left="709" w:hanging="425"/>
        <w:contextualSpacing/>
        <w:jc w:val="both"/>
        <w:rPr>
          <w:rFonts w:ascii="Humnst777 Lt BT" w:eastAsiaTheme="minorHAnsi" w:hAnsi="Humnst777 Lt BT" w:cs="Tahoma"/>
          <w:sz w:val="24"/>
          <w:lang w:eastAsia="en-US"/>
        </w:rPr>
      </w:pPr>
      <w:r w:rsidRPr="007B2685">
        <w:rPr>
          <w:rFonts w:ascii="Humnst777 Lt BT" w:eastAsiaTheme="minorHAnsi" w:hAnsi="Humnst777 Lt BT" w:cs="Tahoma"/>
          <w:sz w:val="24"/>
          <w:lang w:eastAsia="en-US"/>
        </w:rPr>
        <w:t>is novel, contentious</w:t>
      </w:r>
      <w:r w:rsidR="006237EE">
        <w:rPr>
          <w:rFonts w:ascii="Humnst777 Lt BT" w:eastAsiaTheme="minorHAnsi" w:hAnsi="Humnst777 Lt BT" w:cs="Tahoma"/>
          <w:sz w:val="24"/>
          <w:lang w:eastAsia="en-US"/>
        </w:rPr>
        <w:t>,</w:t>
      </w:r>
      <w:r w:rsidRPr="007B2685">
        <w:rPr>
          <w:rFonts w:ascii="Humnst777 Lt BT" w:eastAsiaTheme="minorHAnsi" w:hAnsi="Humnst777 Lt BT" w:cs="Tahoma"/>
          <w:sz w:val="24"/>
          <w:lang w:eastAsia="en-US"/>
        </w:rPr>
        <w:t xml:space="preserve"> or is expected to lead to ministerial announcement,</w:t>
      </w:r>
    </w:p>
    <w:p w14:paraId="706FD2B9" w14:textId="77777777" w:rsidR="007B2685" w:rsidRPr="007B2685" w:rsidRDefault="007B2685" w:rsidP="00A071ED">
      <w:pPr>
        <w:spacing w:after="0"/>
        <w:jc w:val="both"/>
        <w:rPr>
          <w:rFonts w:ascii="Humnst777 Lt BT" w:hAnsi="Humnst777 Lt BT" w:cs="Tahoma"/>
          <w:sz w:val="24"/>
          <w:szCs w:val="24"/>
          <w:lang w:eastAsia="en-US"/>
        </w:rPr>
      </w:pPr>
      <w:r w:rsidRPr="007B2685">
        <w:rPr>
          <w:rFonts w:ascii="Humnst777 Lt BT" w:hAnsi="Humnst777 Lt BT" w:cs="Tahoma"/>
          <w:sz w:val="24"/>
          <w:szCs w:val="24"/>
          <w:lang w:eastAsia="en-US"/>
        </w:rPr>
        <w:t> </w:t>
      </w:r>
    </w:p>
    <w:p w14:paraId="5891AD3C" w14:textId="19A5ECC3" w:rsidR="007B2685" w:rsidRPr="008D3DFE" w:rsidRDefault="00BD5B82" w:rsidP="008D3DFE">
      <w:pPr>
        <w:spacing w:after="0"/>
        <w:jc w:val="both"/>
        <w:rPr>
          <w:rFonts w:ascii="Humnst777 Lt BT" w:hAnsi="Humnst777 Lt BT" w:cs="Tahoma"/>
          <w:sz w:val="24"/>
          <w:szCs w:val="24"/>
          <w:lang w:eastAsia="en-US"/>
        </w:rPr>
      </w:pPr>
      <w:r w:rsidRPr="25AF8D8B">
        <w:rPr>
          <w:rFonts w:ascii="Humnst777 Lt BT" w:hAnsi="Humnst777 Lt BT" w:cs="Tahoma"/>
          <w:sz w:val="24"/>
          <w:szCs w:val="24"/>
          <w:lang w:eastAsia="en-US"/>
        </w:rPr>
        <w:t>You</w:t>
      </w:r>
      <w:r w:rsidR="007B2685" w:rsidRPr="25AF8D8B">
        <w:rPr>
          <w:rFonts w:ascii="Humnst777 Lt BT" w:hAnsi="Humnst777 Lt BT" w:cs="Tahoma"/>
          <w:sz w:val="24"/>
          <w:szCs w:val="24"/>
          <w:lang w:eastAsia="en-US"/>
        </w:rPr>
        <w:t xml:space="preserve"> are asked to engage the relevant </w:t>
      </w:r>
      <w:r w:rsidR="65EDBBE9" w:rsidRPr="25AF8D8B">
        <w:rPr>
          <w:rFonts w:ascii="Humnst777 Lt BT" w:hAnsi="Humnst777 Lt BT" w:cs="Tahoma"/>
          <w:sz w:val="24"/>
          <w:szCs w:val="24"/>
          <w:lang w:eastAsia="en-US"/>
        </w:rPr>
        <w:t>T</w:t>
      </w:r>
      <w:r w:rsidR="007B2685" w:rsidRPr="25AF8D8B">
        <w:rPr>
          <w:rFonts w:ascii="Humnst777 Lt BT" w:hAnsi="Humnst777 Lt BT" w:cs="Tahoma"/>
          <w:sz w:val="24"/>
          <w:szCs w:val="24"/>
          <w:lang w:eastAsia="en-US"/>
        </w:rPr>
        <w:t xml:space="preserve">reasury spending team and IPA contact at the outset to determine the degree of challenge and whether the initiative and proposed delivery approach would benefit from Major Project status or IPA support. IPA and Treasury engagement in an initiative’s transition from policy to delivery should be as early as possible and should not rely on </w:t>
      </w:r>
      <w:r w:rsidR="007B2685" w:rsidRPr="002838EE">
        <w:rPr>
          <w:rFonts w:ascii="Humnst777 Lt BT" w:hAnsi="Humnst777 Lt BT" w:cs="Tahoma"/>
          <w:sz w:val="24"/>
          <w:szCs w:val="24"/>
          <w:lang w:eastAsia="en-US"/>
        </w:rPr>
        <w:t>t</w:t>
      </w:r>
      <w:r w:rsidR="004521D8" w:rsidRPr="002838EE">
        <w:rPr>
          <w:rFonts w:ascii="Humnst777 Lt BT" w:hAnsi="Humnst777 Lt BT" w:cs="Tahoma"/>
          <w:sz w:val="24"/>
          <w:szCs w:val="24"/>
          <w:lang w:eastAsia="en-US"/>
        </w:rPr>
        <w:t>he more formal quarterly cycle.</w:t>
      </w:r>
      <w:r w:rsidR="00C27442" w:rsidRPr="002838EE">
        <w:rPr>
          <w:rFonts w:ascii="Humnst777 Lt BT" w:hAnsi="Humnst777 Lt BT" w:cs="Tahoma"/>
          <w:sz w:val="24"/>
          <w:szCs w:val="24"/>
          <w:lang w:eastAsia="en-US"/>
        </w:rPr>
        <w:t xml:space="preserve"> </w:t>
      </w:r>
      <w:r w:rsidR="00DA731E" w:rsidRPr="002838EE">
        <w:rPr>
          <w:rFonts w:ascii="Humnst777 Lt BT" w:hAnsi="Humnst777 Lt BT" w:cs="Tahoma"/>
          <w:sz w:val="24"/>
          <w:szCs w:val="24"/>
          <w:lang w:eastAsia="en-US"/>
        </w:rPr>
        <w:t xml:space="preserve">As set out in the </w:t>
      </w:r>
      <w:r w:rsidR="002838EE" w:rsidRPr="00A1513E">
        <w:rPr>
          <w:rFonts w:ascii="Humnst777 Lt BT" w:hAnsi="Humnst777 Lt BT"/>
          <w:b/>
          <w:color w:val="2E74B5" w:themeColor="accent1" w:themeShade="BF"/>
          <w:sz w:val="24"/>
          <w:szCs w:val="24"/>
        </w:rPr>
        <w:t>[Department name]</w:t>
      </w:r>
      <w:r w:rsidR="002838EE">
        <w:rPr>
          <w:rFonts w:ascii="Humnst777 Lt BT" w:hAnsi="Humnst777 Lt BT"/>
          <w:b/>
          <w:color w:val="2E74B5" w:themeColor="accent1" w:themeShade="BF"/>
          <w:sz w:val="24"/>
          <w:szCs w:val="24"/>
        </w:rPr>
        <w:t>’s</w:t>
      </w:r>
      <w:r w:rsidR="00DA731E" w:rsidRPr="002838EE">
        <w:rPr>
          <w:rFonts w:ascii="Humnst777 Lt BT" w:hAnsi="Humnst777 Lt BT" w:cs="Tahoma"/>
          <w:sz w:val="24"/>
          <w:szCs w:val="24"/>
          <w:lang w:eastAsia="en-US"/>
        </w:rPr>
        <w:t xml:space="preserve"> most recent Spending Review settlement letters, there will be a quarterly meeting between the </w:t>
      </w:r>
      <w:r w:rsidR="002838EE" w:rsidRPr="00A1513E">
        <w:rPr>
          <w:rFonts w:ascii="Humnst777 Lt BT" w:hAnsi="Humnst777 Lt BT"/>
          <w:b/>
          <w:color w:val="2E74B5" w:themeColor="accent1" w:themeShade="BF"/>
          <w:sz w:val="24"/>
          <w:szCs w:val="24"/>
        </w:rPr>
        <w:t>[Department name]</w:t>
      </w:r>
      <w:r w:rsidR="002838EE">
        <w:rPr>
          <w:rFonts w:ascii="Humnst777 Lt BT" w:hAnsi="Humnst777 Lt BT"/>
          <w:b/>
          <w:color w:val="2E74B5" w:themeColor="accent1" w:themeShade="BF"/>
          <w:sz w:val="24"/>
          <w:szCs w:val="24"/>
        </w:rPr>
        <w:t xml:space="preserve">, </w:t>
      </w:r>
      <w:r w:rsidR="00DA731E" w:rsidRPr="002838EE">
        <w:rPr>
          <w:rFonts w:ascii="Humnst777 Lt BT" w:hAnsi="Humnst777 Lt BT" w:cs="Tahoma"/>
          <w:sz w:val="24"/>
          <w:szCs w:val="24"/>
          <w:lang w:eastAsia="en-US"/>
        </w:rPr>
        <w:t xml:space="preserve">the relevant Treasury spending </w:t>
      </w:r>
      <w:r w:rsidR="0056306E">
        <w:rPr>
          <w:rFonts w:ascii="Humnst777 Lt BT" w:hAnsi="Humnst777 Lt BT" w:cs="Tahoma"/>
          <w:sz w:val="24"/>
          <w:szCs w:val="24"/>
          <w:lang w:eastAsia="en-US"/>
        </w:rPr>
        <w:t>t</w:t>
      </w:r>
      <w:r w:rsidR="00DA731E" w:rsidRPr="002838EE">
        <w:rPr>
          <w:rFonts w:ascii="Humnst777 Lt BT" w:hAnsi="Humnst777 Lt BT" w:cs="Tahoma"/>
          <w:sz w:val="24"/>
          <w:szCs w:val="24"/>
          <w:lang w:eastAsia="en-US"/>
        </w:rPr>
        <w:t>eam</w:t>
      </w:r>
      <w:r w:rsidR="00B83161" w:rsidRPr="002838EE">
        <w:rPr>
          <w:rFonts w:ascii="Humnst777 Lt BT" w:hAnsi="Humnst777 Lt BT" w:cs="Tahoma"/>
          <w:sz w:val="24"/>
          <w:szCs w:val="24"/>
          <w:lang w:eastAsia="en-US"/>
        </w:rPr>
        <w:t>,</w:t>
      </w:r>
      <w:r w:rsidR="00DA731E" w:rsidRPr="002838EE">
        <w:rPr>
          <w:rFonts w:ascii="Humnst777 Lt BT" w:hAnsi="Humnst777 Lt BT" w:cs="Tahoma"/>
          <w:sz w:val="24"/>
          <w:szCs w:val="24"/>
          <w:lang w:eastAsia="en-US"/>
        </w:rPr>
        <w:t xml:space="preserve"> and IPA contact where such matters should be formally discussed.</w:t>
      </w:r>
      <w:r w:rsidR="008D3DFE">
        <w:rPr>
          <w:rFonts w:ascii="Humnst777 Lt BT" w:hAnsi="Humnst777 Lt BT" w:cs="Tahoma"/>
          <w:sz w:val="24"/>
          <w:szCs w:val="24"/>
          <w:lang w:eastAsia="en-US"/>
        </w:rPr>
        <w:t xml:space="preserve"> </w:t>
      </w:r>
      <w:r w:rsidR="007B2685" w:rsidRPr="007B2685">
        <w:rPr>
          <w:rFonts w:ascii="Humnst777 Lt BT" w:hAnsi="Humnst777 Lt BT" w:cs="Arial"/>
          <w:iCs/>
          <w:sz w:val="24"/>
          <w:szCs w:val="24"/>
        </w:rPr>
        <w:t xml:space="preserve">In addition, </w:t>
      </w:r>
      <w:r w:rsidR="001B33BF">
        <w:rPr>
          <w:rFonts w:ascii="Humnst777 Lt BT" w:hAnsi="Humnst777 Lt BT" w:cs="Arial"/>
          <w:iCs/>
          <w:sz w:val="24"/>
          <w:szCs w:val="24"/>
        </w:rPr>
        <w:t>the</w:t>
      </w:r>
      <w:r w:rsidR="001B33BF" w:rsidRPr="007B2685">
        <w:rPr>
          <w:rFonts w:ascii="Humnst777 Lt BT" w:hAnsi="Humnst777 Lt BT" w:cs="Arial"/>
          <w:iCs/>
          <w:sz w:val="24"/>
          <w:szCs w:val="24"/>
        </w:rPr>
        <w:t xml:space="preserve"> </w:t>
      </w:r>
      <w:r w:rsidR="007B2685" w:rsidRPr="007B2685">
        <w:rPr>
          <w:rFonts w:ascii="Humnst777 Lt BT" w:hAnsi="Humnst777 Lt BT" w:cs="Arial"/>
          <w:iCs/>
          <w:sz w:val="24"/>
          <w:szCs w:val="24"/>
        </w:rPr>
        <w:t xml:space="preserve">Treasury </w:t>
      </w:r>
      <w:r w:rsidR="006237EE">
        <w:rPr>
          <w:rFonts w:ascii="Humnst777 Lt BT" w:hAnsi="Humnst777 Lt BT" w:cs="Arial"/>
          <w:iCs/>
          <w:sz w:val="24"/>
          <w:szCs w:val="24"/>
        </w:rPr>
        <w:t>should</w:t>
      </w:r>
      <w:r w:rsidR="007B2685" w:rsidRPr="007B2685">
        <w:rPr>
          <w:rFonts w:ascii="Humnst777 Lt BT" w:hAnsi="Humnst777 Lt BT" w:cs="Arial"/>
          <w:iCs/>
          <w:sz w:val="24"/>
          <w:szCs w:val="24"/>
        </w:rPr>
        <w:t xml:space="preserve"> be kept informed on a regular basis of details of planned savings measures, especially where they are novel or contentious. </w:t>
      </w:r>
    </w:p>
    <w:p w14:paraId="67AFB7FA" w14:textId="77777777" w:rsidR="008A6568" w:rsidRPr="007B2685" w:rsidRDefault="008A6568" w:rsidP="008A6568">
      <w:pPr>
        <w:shd w:val="clear" w:color="auto" w:fill="FFFFFF"/>
        <w:spacing w:after="0"/>
        <w:rPr>
          <w:rFonts w:ascii="Humnst777 Lt BT" w:hAnsi="Humnst777 Lt BT" w:cs="Arial"/>
          <w:color w:val="222222"/>
          <w:sz w:val="24"/>
          <w:szCs w:val="24"/>
        </w:rPr>
      </w:pPr>
    </w:p>
    <w:p w14:paraId="5B31E236" w14:textId="77777777" w:rsidR="008A6568" w:rsidRPr="00390C9E" w:rsidRDefault="00434C13" w:rsidP="008A6568">
      <w:pPr>
        <w:keepNext/>
        <w:spacing w:after="0"/>
        <w:rPr>
          <w:rFonts w:ascii="Humnst777 Lt BT" w:hAnsi="Humnst777 Lt BT"/>
          <w:color w:val="0070C0"/>
          <w:sz w:val="24"/>
          <w:szCs w:val="24"/>
        </w:rPr>
      </w:pPr>
      <w:r w:rsidRPr="00390C9E">
        <w:rPr>
          <w:rFonts w:ascii="Humnst777 Lt BT" w:hAnsi="Humnst777 Lt BT"/>
          <w:b/>
          <w:bCs/>
          <w:color w:val="0070C0"/>
          <w:sz w:val="24"/>
          <w:szCs w:val="24"/>
        </w:rPr>
        <w:t>Spending commitments beyond Spending Review settlement</w:t>
      </w:r>
    </w:p>
    <w:p w14:paraId="5220474D" w14:textId="51B31876" w:rsidR="008A6568" w:rsidRDefault="003D4839" w:rsidP="0071553B">
      <w:pPr>
        <w:keepNext/>
        <w:rPr>
          <w:rFonts w:ascii="Humnst777 Lt BT" w:hAnsi="Humnst777 Lt BT"/>
          <w:sz w:val="24"/>
          <w:szCs w:val="24"/>
        </w:rPr>
      </w:pPr>
      <w:r>
        <w:rPr>
          <w:rFonts w:ascii="Humnst777 Lt BT" w:hAnsi="Humnst777 Lt BT"/>
          <w:sz w:val="24"/>
          <w:szCs w:val="24"/>
        </w:rPr>
        <w:t xml:space="preserve">In line with </w:t>
      </w:r>
      <w:r>
        <w:rPr>
          <w:rFonts w:ascii="Humnst777 Lt BT" w:hAnsi="Humnst777 Lt BT"/>
          <w:i/>
          <w:iCs/>
          <w:sz w:val="24"/>
          <w:szCs w:val="24"/>
        </w:rPr>
        <w:t>Managing Public Money</w:t>
      </w:r>
      <w:r>
        <w:rPr>
          <w:rFonts w:ascii="Humnst777 Lt BT" w:hAnsi="Humnst777 Lt BT"/>
          <w:sz w:val="24"/>
          <w:szCs w:val="24"/>
        </w:rPr>
        <w:t>, any new spending proposal which would entail contractual commitments to significant levels of spending in future years for which plans have not been set must be approved by the Treasury.</w:t>
      </w:r>
      <w:r w:rsidR="008D3DFE">
        <w:rPr>
          <w:rFonts w:ascii="Humnst777 Lt BT" w:hAnsi="Humnst777 Lt BT"/>
          <w:sz w:val="24"/>
          <w:szCs w:val="24"/>
        </w:rPr>
        <w:t xml:space="preserve"> </w:t>
      </w:r>
      <w:r>
        <w:rPr>
          <w:rFonts w:ascii="Humnst777 Lt BT" w:hAnsi="Humnst777 Lt BT"/>
          <w:sz w:val="24"/>
          <w:szCs w:val="24"/>
        </w:rPr>
        <w:t>In addition, the Treasury requires departments to report on a quarterly basis on the total amount of capital spending which has been committed per financial year beyond the current Spending Review settlement. This applies to capital spending beyond 202</w:t>
      </w:r>
      <w:r w:rsidR="00AC2FA9">
        <w:rPr>
          <w:rFonts w:ascii="Humnst777 Lt BT" w:hAnsi="Humnst777 Lt BT"/>
          <w:sz w:val="24"/>
          <w:szCs w:val="24"/>
        </w:rPr>
        <w:t>4</w:t>
      </w:r>
      <w:r>
        <w:rPr>
          <w:rFonts w:ascii="Humnst777 Lt BT" w:hAnsi="Humnst777 Lt BT"/>
          <w:sz w:val="24"/>
          <w:szCs w:val="24"/>
        </w:rPr>
        <w:t>-2</w:t>
      </w:r>
      <w:r w:rsidR="00AC2FA9">
        <w:rPr>
          <w:rFonts w:ascii="Humnst777 Lt BT" w:hAnsi="Humnst777 Lt BT"/>
          <w:sz w:val="24"/>
          <w:szCs w:val="24"/>
        </w:rPr>
        <w:t>5.</w:t>
      </w:r>
      <w:r>
        <w:rPr>
          <w:rFonts w:ascii="Humnst777 Lt BT" w:hAnsi="Humnst777 Lt BT"/>
          <w:sz w:val="24"/>
          <w:szCs w:val="24"/>
        </w:rPr>
        <w:t xml:space="preserve"> If the Treasury has concerns about the level of commitments that have built up, it may require all spending </w:t>
      </w:r>
      <w:r>
        <w:rPr>
          <w:rFonts w:ascii="Humnst777 Lt BT" w:hAnsi="Humnst777 Lt BT"/>
          <w:sz w:val="24"/>
          <w:szCs w:val="24"/>
        </w:rPr>
        <w:lastRenderedPageBreak/>
        <w:t>proposals committing money beyond the current Spending Review settlement to have HM Treasury approval, regardless of the level of spending involved.</w:t>
      </w:r>
    </w:p>
    <w:p w14:paraId="59CD5B1F" w14:textId="654C5371" w:rsidR="008A6568" w:rsidRPr="000F1123" w:rsidRDefault="003732F3" w:rsidP="000F1123">
      <w:pPr>
        <w:pStyle w:val="Heading1"/>
        <w:spacing w:before="0"/>
        <w:rPr>
          <w:rFonts w:ascii="Humnst777 Lt BT" w:hAnsi="Humnst777 Lt BT"/>
          <w:color w:val="0070C0"/>
          <w:sz w:val="24"/>
          <w:szCs w:val="24"/>
        </w:rPr>
      </w:pPr>
      <w:r w:rsidRPr="00D04CF2">
        <w:rPr>
          <w:rFonts w:ascii="Humnst777 Lt BT" w:hAnsi="Humnst777 Lt BT"/>
          <w:color w:val="0070C0"/>
          <w:sz w:val="24"/>
          <w:szCs w:val="24"/>
        </w:rPr>
        <w:t>Process for obtaining approval</w:t>
      </w:r>
    </w:p>
    <w:p w14:paraId="362DA2DB" w14:textId="39940ED1" w:rsidR="003732F3" w:rsidRDefault="003732F3" w:rsidP="00A071ED">
      <w:pPr>
        <w:spacing w:after="0"/>
        <w:jc w:val="both"/>
        <w:rPr>
          <w:rFonts w:ascii="Humnst777 Lt BT" w:hAnsi="Humnst777 Lt BT"/>
          <w:sz w:val="24"/>
          <w:szCs w:val="24"/>
        </w:rPr>
      </w:pPr>
      <w:r w:rsidRPr="007B2685">
        <w:rPr>
          <w:rFonts w:ascii="Humnst777 Lt BT" w:hAnsi="Humnst777 Lt BT"/>
          <w:sz w:val="24"/>
          <w:szCs w:val="24"/>
        </w:rPr>
        <w:t xml:space="preserve">Before any expenditure outside the delegated authorities is submitted by the department to </w:t>
      </w:r>
      <w:r w:rsidR="0056306E">
        <w:rPr>
          <w:rFonts w:ascii="Humnst777 Lt BT" w:hAnsi="Humnst777 Lt BT"/>
          <w:sz w:val="24"/>
          <w:szCs w:val="24"/>
        </w:rPr>
        <w:t>HM</w:t>
      </w:r>
      <w:r w:rsidRPr="007B2685">
        <w:rPr>
          <w:rFonts w:ascii="Humnst777 Lt BT" w:hAnsi="Humnst777 Lt BT"/>
          <w:sz w:val="24"/>
          <w:szCs w:val="24"/>
        </w:rPr>
        <w:t xml:space="preserve"> Treasury for formal approval, it should already have passed the highest level of scrutiny within the department, which as a minimum will require sign-off by the Principal Accounting Officer, Finance Director, or other official with full delegated powers.</w:t>
      </w:r>
      <w:r w:rsidR="00806250" w:rsidRPr="007B2685">
        <w:rPr>
          <w:rFonts w:ascii="Humnst777 Lt BT" w:hAnsi="Humnst777 Lt BT"/>
          <w:sz w:val="24"/>
          <w:szCs w:val="24"/>
        </w:rPr>
        <w:t xml:space="preserve"> </w:t>
      </w:r>
      <w:r w:rsidR="007B2685" w:rsidRPr="007B2685">
        <w:rPr>
          <w:rFonts w:ascii="Humnst777 Lt BT" w:hAnsi="Humnst777 Lt BT"/>
          <w:sz w:val="24"/>
          <w:szCs w:val="24"/>
        </w:rPr>
        <w:t xml:space="preserve">Expenditure submitted to </w:t>
      </w:r>
      <w:r w:rsidR="00C829FA">
        <w:rPr>
          <w:rFonts w:ascii="Humnst777 Lt BT" w:hAnsi="Humnst777 Lt BT"/>
          <w:sz w:val="24"/>
          <w:szCs w:val="24"/>
        </w:rPr>
        <w:t>the</w:t>
      </w:r>
      <w:r w:rsidR="00C829FA" w:rsidRPr="007B2685">
        <w:rPr>
          <w:rFonts w:ascii="Humnst777 Lt BT" w:hAnsi="Humnst777 Lt BT"/>
          <w:sz w:val="24"/>
          <w:szCs w:val="24"/>
        </w:rPr>
        <w:t xml:space="preserve"> </w:t>
      </w:r>
      <w:r w:rsidR="007B2685" w:rsidRPr="007B2685">
        <w:rPr>
          <w:rFonts w:ascii="Humnst777 Lt BT" w:hAnsi="Humnst777 Lt BT"/>
          <w:sz w:val="24"/>
          <w:szCs w:val="24"/>
        </w:rPr>
        <w:t>Treasury for approval should also have been signed-off by the relevant minister within the department (excepting cases related to special payments).</w:t>
      </w:r>
      <w:r w:rsidR="001B6DCE">
        <w:rPr>
          <w:rFonts w:ascii="Humnst777 Lt BT" w:hAnsi="Humnst777 Lt BT"/>
          <w:sz w:val="24"/>
          <w:szCs w:val="24"/>
        </w:rPr>
        <w:t xml:space="preserve"> Where the </w:t>
      </w:r>
      <w:r w:rsidR="00DA5E5A">
        <w:rPr>
          <w:rFonts w:ascii="Humnst777 Lt BT" w:hAnsi="Humnst777 Lt BT"/>
          <w:sz w:val="24"/>
          <w:szCs w:val="24"/>
        </w:rPr>
        <w:t>Principal Accounting Officer</w:t>
      </w:r>
      <w:r w:rsidR="005B30FD">
        <w:rPr>
          <w:rFonts w:ascii="Humnst777 Lt BT" w:hAnsi="Humnst777 Lt BT"/>
          <w:sz w:val="24"/>
          <w:szCs w:val="24"/>
        </w:rPr>
        <w:t xml:space="preserve"> assesses that a ministerial direction will likely be needed in relation to the expenditure, the reasons for this should be discussed with the Treasury. </w:t>
      </w:r>
      <w:r w:rsidR="00705694">
        <w:rPr>
          <w:rFonts w:ascii="Humnst777 Lt BT" w:hAnsi="Humnst777 Lt BT"/>
          <w:sz w:val="24"/>
          <w:szCs w:val="24"/>
        </w:rPr>
        <w:t xml:space="preserve">No direction should be sought in advance of obtaining Treasury approval for the expenditure. </w:t>
      </w:r>
      <w:r w:rsidR="00DA5E5A">
        <w:rPr>
          <w:rFonts w:ascii="Humnst777 Lt BT" w:hAnsi="Humnst777 Lt BT"/>
          <w:sz w:val="24"/>
          <w:szCs w:val="24"/>
        </w:rPr>
        <w:t xml:space="preserve"> </w:t>
      </w:r>
    </w:p>
    <w:p w14:paraId="0FCD894C" w14:textId="77777777" w:rsidR="008A6568" w:rsidRPr="007B2685" w:rsidRDefault="008A6568" w:rsidP="006E41CF">
      <w:pPr>
        <w:spacing w:after="0"/>
        <w:jc w:val="both"/>
        <w:rPr>
          <w:rFonts w:ascii="Humnst777 Lt BT" w:hAnsi="Humnst777 Lt BT"/>
          <w:sz w:val="24"/>
          <w:szCs w:val="24"/>
        </w:rPr>
      </w:pPr>
    </w:p>
    <w:p w14:paraId="5B18E500" w14:textId="77777777" w:rsidR="003732F3" w:rsidRPr="00D04CF2" w:rsidRDefault="003732F3" w:rsidP="006E41CF">
      <w:pPr>
        <w:pStyle w:val="Heading3"/>
        <w:spacing w:before="0"/>
        <w:rPr>
          <w:rFonts w:ascii="Humnst777 Lt BT" w:hAnsi="Humnst777 Lt BT"/>
          <w:color w:val="0070C0"/>
          <w:sz w:val="24"/>
          <w:szCs w:val="24"/>
        </w:rPr>
      </w:pPr>
      <w:r w:rsidRPr="00D04CF2">
        <w:rPr>
          <w:rFonts w:ascii="Humnst777 Lt BT" w:hAnsi="Humnst777 Lt BT"/>
          <w:color w:val="0070C0"/>
          <w:sz w:val="24"/>
          <w:szCs w:val="24"/>
        </w:rPr>
        <w:t>Policy proposals and projects</w:t>
      </w:r>
    </w:p>
    <w:p w14:paraId="1BFAD124" w14:textId="5EBE4700" w:rsidR="003732F3" w:rsidRDefault="003732F3" w:rsidP="00A071ED">
      <w:pPr>
        <w:spacing w:after="0"/>
        <w:jc w:val="both"/>
        <w:rPr>
          <w:rFonts w:ascii="Humnst777 Lt BT" w:hAnsi="Humnst777 Lt BT"/>
          <w:sz w:val="24"/>
          <w:szCs w:val="24"/>
        </w:rPr>
      </w:pPr>
      <w:r w:rsidRPr="007B2685">
        <w:rPr>
          <w:rFonts w:ascii="Humnst777 Lt BT" w:hAnsi="Humnst777 Lt BT"/>
          <w:sz w:val="24"/>
          <w:szCs w:val="24"/>
        </w:rPr>
        <w:t>Applications for approval should be submitted to the</w:t>
      </w:r>
      <w:r w:rsidR="00B81A3C">
        <w:rPr>
          <w:rFonts w:ascii="Humnst777 Lt BT" w:hAnsi="Humnst777 Lt BT"/>
          <w:sz w:val="24"/>
          <w:szCs w:val="24"/>
        </w:rPr>
        <w:t xml:space="preserve"> Treasury</w:t>
      </w:r>
      <w:r w:rsidRPr="007B2685">
        <w:rPr>
          <w:rFonts w:ascii="Humnst777 Lt BT" w:hAnsi="Humnst777 Lt BT"/>
          <w:sz w:val="24"/>
          <w:szCs w:val="24"/>
        </w:rPr>
        <w:t xml:space="preserve"> spending team, who will then </w:t>
      </w:r>
      <w:r w:rsidR="00B81A3C">
        <w:rPr>
          <w:rFonts w:ascii="Humnst777 Lt BT" w:hAnsi="Humnst777 Lt BT"/>
          <w:sz w:val="24"/>
          <w:szCs w:val="24"/>
        </w:rPr>
        <w:t xml:space="preserve">communicate in writing </w:t>
      </w:r>
      <w:r w:rsidRPr="007B2685">
        <w:rPr>
          <w:rFonts w:ascii="Humnst777 Lt BT" w:hAnsi="Humnst777 Lt BT"/>
          <w:sz w:val="24"/>
          <w:szCs w:val="24"/>
        </w:rPr>
        <w:t>whether approval has been granted.</w:t>
      </w:r>
      <w:r w:rsidR="002838EE">
        <w:rPr>
          <w:rFonts w:ascii="Humnst777 Lt BT" w:hAnsi="Humnst777 Lt BT"/>
          <w:sz w:val="24"/>
          <w:szCs w:val="24"/>
        </w:rPr>
        <w:t xml:space="preserve"> </w:t>
      </w:r>
      <w:r w:rsidRPr="007B2685">
        <w:rPr>
          <w:rFonts w:ascii="Humnst777 Lt BT" w:hAnsi="Humnst777 Lt BT"/>
          <w:sz w:val="24"/>
          <w:szCs w:val="24"/>
        </w:rPr>
        <w:t>Projects outside delegated authority will be scrutinised through the</w:t>
      </w:r>
      <w:r w:rsidR="0056306E">
        <w:rPr>
          <w:rFonts w:ascii="Humnst777 Lt BT" w:hAnsi="Humnst777 Lt BT"/>
          <w:sz w:val="24"/>
          <w:szCs w:val="24"/>
        </w:rPr>
        <w:t xml:space="preserve"> </w:t>
      </w:r>
      <w:r w:rsidRPr="007B2685">
        <w:rPr>
          <w:rFonts w:ascii="Humnst777 Lt BT" w:hAnsi="Humnst777 Lt BT"/>
          <w:sz w:val="24"/>
          <w:szCs w:val="24"/>
        </w:rPr>
        <w:t>Treasury Approval Point process</w:t>
      </w:r>
      <w:r w:rsidR="00B81A3C">
        <w:rPr>
          <w:rFonts w:ascii="Humnst777 Lt BT" w:hAnsi="Humnst777 Lt BT"/>
          <w:sz w:val="24"/>
          <w:szCs w:val="24"/>
        </w:rPr>
        <w:t>,</w:t>
      </w:r>
      <w:r w:rsidRPr="007B2685">
        <w:rPr>
          <w:rFonts w:ascii="Humnst777 Lt BT" w:hAnsi="Humnst777 Lt BT"/>
          <w:sz w:val="24"/>
          <w:szCs w:val="24"/>
        </w:rPr>
        <w:t xml:space="preserve"> or the Major Projects Review Group for </w:t>
      </w:r>
      <w:r w:rsidR="005A45DA">
        <w:rPr>
          <w:rFonts w:ascii="Humnst777 Lt BT" w:hAnsi="Humnst777 Lt BT"/>
          <w:sz w:val="24"/>
          <w:szCs w:val="24"/>
        </w:rPr>
        <w:t>g</w:t>
      </w:r>
      <w:r w:rsidRPr="007B2685">
        <w:rPr>
          <w:rFonts w:ascii="Humnst777 Lt BT" w:hAnsi="Humnst777 Lt BT"/>
          <w:sz w:val="24"/>
          <w:szCs w:val="24"/>
        </w:rPr>
        <w:t xml:space="preserve">overnment’s largest and riskiest projects and programmes. You will normally receive a response within 28 days of the business case formally being received. </w:t>
      </w:r>
    </w:p>
    <w:p w14:paraId="0036002A" w14:textId="77777777" w:rsidR="008A6568" w:rsidRPr="007B2685" w:rsidRDefault="008A6568" w:rsidP="006E41CF">
      <w:pPr>
        <w:spacing w:after="0"/>
        <w:jc w:val="both"/>
        <w:rPr>
          <w:rFonts w:ascii="Humnst777 Lt BT" w:hAnsi="Humnst777 Lt BT"/>
          <w:sz w:val="24"/>
          <w:szCs w:val="24"/>
        </w:rPr>
      </w:pPr>
    </w:p>
    <w:p w14:paraId="32B0F392" w14:textId="77777777" w:rsidR="00AC56B1" w:rsidRPr="00AC56B1" w:rsidRDefault="00AC56B1" w:rsidP="006E41CF">
      <w:pPr>
        <w:keepNext/>
        <w:keepLines/>
        <w:spacing w:after="0"/>
        <w:outlineLvl w:val="2"/>
        <w:rPr>
          <w:rFonts w:ascii="Humnst777 Lt BT" w:eastAsiaTheme="majorEastAsia" w:hAnsi="Humnst777 Lt BT" w:cstheme="majorBidi"/>
          <w:b/>
          <w:bCs/>
          <w:color w:val="5B9BD5" w:themeColor="accent1"/>
          <w:sz w:val="24"/>
          <w:szCs w:val="24"/>
        </w:rPr>
      </w:pPr>
      <w:r w:rsidRPr="00D04CF2">
        <w:rPr>
          <w:rFonts w:ascii="Humnst777 Lt BT" w:eastAsiaTheme="majorEastAsia" w:hAnsi="Humnst777 Lt BT" w:cstheme="majorBidi"/>
          <w:b/>
          <w:bCs/>
          <w:color w:val="0070C0"/>
          <w:sz w:val="24"/>
          <w:szCs w:val="24"/>
        </w:rPr>
        <w:t xml:space="preserve">Cabinet Office controls </w:t>
      </w:r>
    </w:p>
    <w:p w14:paraId="4D448AC7" w14:textId="77777777" w:rsidR="00592DB9" w:rsidRDefault="00592DB9" w:rsidP="00592DB9">
      <w:pPr>
        <w:rPr>
          <w:rFonts w:ascii="Humnst777 Lt BT" w:eastAsia="Humnst777 Lt BT" w:hAnsi="Humnst777 Lt BT" w:cs="Humnst777 Lt BT"/>
          <w:sz w:val="24"/>
          <w:szCs w:val="24"/>
        </w:rPr>
      </w:pPr>
      <w:r>
        <w:rPr>
          <w:rFonts w:ascii="Humnst777 Lt BT" w:eastAsia="Humnst777 Lt BT" w:hAnsi="Humnst777 Lt BT" w:cs="Humnst777 Lt BT"/>
          <w:sz w:val="24"/>
          <w:szCs w:val="24"/>
        </w:rPr>
        <w:t>The Cabinet Office will continue to operate a subset of spending controls on behalf of the Treasury. They apply to the following types of expenditure:</w:t>
      </w:r>
    </w:p>
    <w:p w14:paraId="598CD014"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Advertising, Marketing and </w:t>
      </w:r>
      <w:proofErr w:type="gramStart"/>
      <w:r>
        <w:rPr>
          <w:rFonts w:ascii="Humnst777 Lt BT" w:eastAsia="Humnst777 Lt BT" w:hAnsi="Humnst777 Lt BT" w:cs="Humnst777 Lt BT"/>
          <w:sz w:val="24"/>
          <w:szCs w:val="24"/>
        </w:rPr>
        <w:t>Communications;</w:t>
      </w:r>
      <w:proofErr w:type="gramEnd"/>
    </w:p>
    <w:p w14:paraId="0A178821"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Commercial activity, including dispute </w:t>
      </w:r>
      <w:proofErr w:type="gramStart"/>
      <w:r>
        <w:rPr>
          <w:rFonts w:ascii="Humnst777 Lt BT" w:eastAsia="Humnst777 Lt BT" w:hAnsi="Humnst777 Lt BT" w:cs="Humnst777 Lt BT"/>
          <w:sz w:val="24"/>
          <w:szCs w:val="24"/>
        </w:rPr>
        <w:t>disclosure;</w:t>
      </w:r>
      <w:proofErr w:type="gramEnd"/>
    </w:p>
    <w:p w14:paraId="43CE0CF1"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Consultancy and Professional </w:t>
      </w:r>
      <w:proofErr w:type="gramStart"/>
      <w:r>
        <w:rPr>
          <w:rFonts w:ascii="Humnst777 Lt BT" w:eastAsia="Humnst777 Lt BT" w:hAnsi="Humnst777 Lt BT" w:cs="Humnst777 Lt BT"/>
          <w:sz w:val="24"/>
          <w:szCs w:val="24"/>
        </w:rPr>
        <w:t>Services;</w:t>
      </w:r>
      <w:proofErr w:type="gramEnd"/>
    </w:p>
    <w:p w14:paraId="52D340CF"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Digital and Technology, including identity </w:t>
      </w:r>
      <w:proofErr w:type="gramStart"/>
      <w:r>
        <w:rPr>
          <w:rFonts w:ascii="Humnst777 Lt BT" w:eastAsia="Humnst777 Lt BT" w:hAnsi="Humnst777 Lt BT" w:cs="Humnst777 Lt BT"/>
          <w:sz w:val="24"/>
          <w:szCs w:val="24"/>
        </w:rPr>
        <w:t>assurance;</w:t>
      </w:r>
      <w:proofErr w:type="gramEnd"/>
    </w:p>
    <w:p w14:paraId="0D6A1514" w14:textId="77777777" w:rsidR="00592DB9" w:rsidRDefault="00592DB9" w:rsidP="00592DB9">
      <w:pPr>
        <w:numPr>
          <w:ilvl w:val="0"/>
          <w:numId w:val="23"/>
        </w:numPr>
        <w:spacing w:after="0"/>
        <w:rPr>
          <w:rFonts w:ascii="Humnst777 Lt BT" w:eastAsia="Humnst777 Lt BT" w:hAnsi="Humnst777 Lt BT" w:cs="Humnst777 Lt BT"/>
          <w:sz w:val="24"/>
          <w:szCs w:val="24"/>
        </w:rPr>
      </w:pPr>
      <w:proofErr w:type="gramStart"/>
      <w:r>
        <w:rPr>
          <w:rFonts w:ascii="Humnst777 Lt BT" w:eastAsia="Humnst777 Lt BT" w:hAnsi="Humnst777 Lt BT" w:cs="Humnst777 Lt BT"/>
          <w:sz w:val="24"/>
          <w:szCs w:val="24"/>
        </w:rPr>
        <w:t>Grants;</w:t>
      </w:r>
      <w:proofErr w:type="gramEnd"/>
      <w:r>
        <w:rPr>
          <w:rFonts w:ascii="Humnst777 Lt BT" w:eastAsia="Humnst777 Lt BT" w:hAnsi="Humnst777 Lt BT" w:cs="Humnst777 Lt BT"/>
          <w:sz w:val="24"/>
          <w:szCs w:val="24"/>
        </w:rPr>
        <w:t xml:space="preserve"> </w:t>
      </w:r>
    </w:p>
    <w:p w14:paraId="39B74581"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Property, </w:t>
      </w:r>
    </w:p>
    <w:p w14:paraId="46F24A44"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Facilities </w:t>
      </w:r>
      <w:proofErr w:type="gramStart"/>
      <w:r>
        <w:rPr>
          <w:rFonts w:ascii="Humnst777 Lt BT" w:eastAsia="Humnst777 Lt BT" w:hAnsi="Humnst777 Lt BT" w:cs="Humnst777 Lt BT"/>
          <w:sz w:val="24"/>
          <w:szCs w:val="24"/>
        </w:rPr>
        <w:t>Management;</w:t>
      </w:r>
      <w:proofErr w:type="gramEnd"/>
    </w:p>
    <w:p w14:paraId="5817FBD4"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Contingent </w:t>
      </w:r>
      <w:proofErr w:type="gramStart"/>
      <w:r>
        <w:rPr>
          <w:rFonts w:ascii="Humnst777 Lt BT" w:eastAsia="Humnst777 Lt BT" w:hAnsi="Humnst777 Lt BT" w:cs="Humnst777 Lt BT"/>
          <w:sz w:val="24"/>
          <w:szCs w:val="24"/>
        </w:rPr>
        <w:t>Labour;</w:t>
      </w:r>
      <w:proofErr w:type="gramEnd"/>
    </w:p>
    <w:p w14:paraId="2B24C7C9"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Learning and Development (Civil Service Learning); and</w:t>
      </w:r>
    </w:p>
    <w:p w14:paraId="3D1146B5" w14:textId="77777777" w:rsidR="00592DB9" w:rsidRDefault="00592DB9" w:rsidP="00592DB9">
      <w:pPr>
        <w:numPr>
          <w:ilvl w:val="0"/>
          <w:numId w:val="23"/>
        </w:numPr>
        <w:spacing w:after="0"/>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Redundancy and Compensation. </w:t>
      </w:r>
    </w:p>
    <w:p w14:paraId="5AD25BAE" w14:textId="77777777" w:rsidR="00592DB9" w:rsidRDefault="00592DB9" w:rsidP="00592DB9">
      <w:pPr>
        <w:rPr>
          <w:rFonts w:ascii="Humnst777 Lt BT" w:eastAsia="Humnst777 Lt BT" w:hAnsi="Humnst777 Lt BT" w:cs="Humnst777 Lt BT"/>
          <w:sz w:val="24"/>
          <w:szCs w:val="24"/>
        </w:rPr>
      </w:pPr>
    </w:p>
    <w:p w14:paraId="5313F874" w14:textId="77777777" w:rsidR="00592DB9" w:rsidRDefault="00592DB9" w:rsidP="00592DB9">
      <w:pPr>
        <w:rPr>
          <w:rFonts w:ascii="Humnst777 Lt BT" w:eastAsia="Humnst777 Lt BT" w:hAnsi="Humnst777 Lt BT" w:cs="Humnst777 Lt BT"/>
          <w:sz w:val="24"/>
          <w:szCs w:val="24"/>
        </w:rPr>
      </w:pPr>
      <w:r>
        <w:rPr>
          <w:rFonts w:ascii="Humnst777 Lt BT" w:eastAsia="Humnst777 Lt BT" w:hAnsi="Humnst777 Lt BT" w:cs="Humnst777 Lt BT"/>
          <w:sz w:val="24"/>
          <w:szCs w:val="24"/>
        </w:rPr>
        <w:t xml:space="preserve">Detailed guidance on their operation and requirements is available at: </w:t>
      </w:r>
      <w:hyperlink r:id="rId11" w:history="1">
        <w:r>
          <w:rPr>
            <w:rStyle w:val="Hyperlink"/>
            <w:rFonts w:ascii="Humnst777 Lt BT" w:eastAsia="Humnst777 Lt BT" w:hAnsi="Humnst777 Lt BT" w:cs="Humnst777 Lt BT"/>
            <w:sz w:val="24"/>
            <w:szCs w:val="24"/>
          </w:rPr>
          <w:t>https://www.gov.uk/government/publications/cabinet-office-controls</w:t>
        </w:r>
      </w:hyperlink>
      <w:r>
        <w:rPr>
          <w:rFonts w:ascii="Humnst777 Lt BT" w:eastAsia="Humnst777 Lt BT" w:hAnsi="Humnst777 Lt BT" w:cs="Humnst777 Lt BT"/>
          <w:sz w:val="24"/>
          <w:szCs w:val="24"/>
        </w:rPr>
        <w:t xml:space="preserve">. </w:t>
      </w:r>
    </w:p>
    <w:p w14:paraId="402F569A" w14:textId="77777777" w:rsidR="00592DB9" w:rsidRDefault="00592DB9" w:rsidP="00592DB9">
      <w:pPr>
        <w:rPr>
          <w:rFonts w:ascii="Humnst777 Lt BT" w:eastAsia="Humnst777 Lt BT" w:hAnsi="Humnst777 Lt BT" w:cs="Humnst777 Lt BT"/>
          <w:sz w:val="24"/>
          <w:szCs w:val="24"/>
        </w:rPr>
      </w:pPr>
      <w:r>
        <w:rPr>
          <w:rFonts w:ascii="Humnst777 Lt BT" w:eastAsia="Humnst777 Lt BT" w:hAnsi="Humnst777 Lt BT" w:cs="Humnst777 Lt BT"/>
          <w:sz w:val="24"/>
          <w:szCs w:val="24"/>
        </w:rPr>
        <w:lastRenderedPageBreak/>
        <w:t xml:space="preserve">The controls apply to your department and all your arms-length and central government bodies, unless exempted. Following a review, most spending control exemptions have been withdrawn or updated (details are set out at Annex B). </w:t>
      </w:r>
      <w:r>
        <w:rPr>
          <w:rFonts w:ascii="Humnst777 Lt BT" w:eastAsia="Humnst777 Lt BT" w:hAnsi="Humnst777 Lt BT" w:cs="Humnst777 Lt BT"/>
          <w:sz w:val="24"/>
          <w:szCs w:val="24"/>
          <w:highlight w:val="white"/>
        </w:rPr>
        <w:t>Any new bodies being formed should do so with the assumption that new exemptions will not be granted</w:t>
      </w:r>
      <w:r>
        <w:rPr>
          <w:rFonts w:ascii="Humnst777 Lt BT" w:eastAsia="Humnst777 Lt BT" w:hAnsi="Humnst777 Lt BT" w:cs="Humnst777 Lt BT"/>
          <w:sz w:val="24"/>
          <w:szCs w:val="24"/>
        </w:rPr>
        <w:t xml:space="preserve">. </w:t>
      </w:r>
    </w:p>
    <w:p w14:paraId="731A3154" w14:textId="77777777" w:rsidR="00592DB9" w:rsidRDefault="00592DB9" w:rsidP="00592DB9">
      <w:pPr>
        <w:rPr>
          <w:rFonts w:ascii="Humnst777 Lt BT" w:eastAsia="Humnst777 Lt BT" w:hAnsi="Humnst777 Lt BT" w:cs="Humnst777 Lt BT"/>
          <w:b/>
          <w:sz w:val="24"/>
          <w:szCs w:val="24"/>
          <w:u w:val="single"/>
        </w:rPr>
      </w:pPr>
      <w:r>
        <w:rPr>
          <w:rFonts w:ascii="Humnst777 Lt BT" w:eastAsia="Humnst777 Lt BT" w:hAnsi="Humnst777 Lt BT" w:cs="Humnst777 Lt BT"/>
          <w:b/>
          <w:sz w:val="24"/>
          <w:szCs w:val="24"/>
          <w:u w:val="single"/>
        </w:rPr>
        <w:t>Controls requirements</w:t>
      </w:r>
    </w:p>
    <w:p w14:paraId="4EE3461F" w14:textId="77777777" w:rsidR="00592DB9" w:rsidRDefault="00592DB9" w:rsidP="00592DB9">
      <w:pPr>
        <w:rPr>
          <w:rFonts w:ascii="Humnst777 Lt BT" w:eastAsia="Humnst777 Lt BT" w:hAnsi="Humnst777 Lt BT" w:cs="Humnst777 Lt BT"/>
          <w:sz w:val="24"/>
          <w:szCs w:val="24"/>
        </w:rPr>
      </w:pPr>
      <w:r>
        <w:rPr>
          <w:rFonts w:ascii="Humnst777 Lt BT" w:eastAsia="Humnst777 Lt BT" w:hAnsi="Humnst777 Lt BT" w:cs="Humnst777 Lt BT"/>
          <w:sz w:val="24"/>
          <w:szCs w:val="24"/>
        </w:rPr>
        <w:t>Your department, and arms-length and central government bodies, are required to develop and share spending ‘pipelines’ containing information on proposed commercial procurement, facilities management contracts, digital and technology, and property (</w:t>
      </w:r>
      <w:r w:rsidRPr="00592DB9">
        <w:rPr>
          <w:rFonts w:ascii="Humnst777 Lt BT" w:eastAsia="Humnst777 Lt BT" w:hAnsi="Humnst777 Lt BT" w:cs="Humnst777 Lt BT"/>
          <w:sz w:val="24"/>
          <w:szCs w:val="24"/>
        </w:rPr>
        <w:t xml:space="preserve">leaseholds, property acquisitions and disposal) </w:t>
      </w:r>
      <w:r>
        <w:rPr>
          <w:rFonts w:ascii="Humnst777 Lt BT" w:eastAsia="Humnst777 Lt BT" w:hAnsi="Humnst777 Lt BT" w:cs="Humnst777 Lt BT"/>
          <w:sz w:val="24"/>
          <w:szCs w:val="24"/>
        </w:rPr>
        <w:t xml:space="preserve">spending for at least the next 18 months (publishing commercial procurement pipelines). As well as meeting this requirement your staff should also continue to produce other business cases and seek other Treasury and Cabinet Office consent as required. </w:t>
      </w:r>
    </w:p>
    <w:p w14:paraId="0005EE9B" w14:textId="753B9424" w:rsidR="00592DB9" w:rsidRPr="00592DB9" w:rsidRDefault="00592DB9" w:rsidP="00592DB9">
      <w:pPr>
        <w:rPr>
          <w:rFonts w:ascii="Humnst777 Lt BT" w:eastAsia="Humnst777 Lt BT" w:hAnsi="Humnst777 Lt BT" w:cs="Humnst777 Lt BT"/>
          <w:b/>
          <w:sz w:val="24"/>
          <w:szCs w:val="24"/>
          <w:u w:val="single"/>
        </w:rPr>
      </w:pPr>
      <w:r w:rsidRPr="00592DB9">
        <w:rPr>
          <w:rFonts w:ascii="Humnst777 Lt BT" w:eastAsia="Humnst777 Lt BT" w:hAnsi="Humnst777 Lt BT" w:cs="Humnst777 Lt BT"/>
          <w:b/>
          <w:sz w:val="24"/>
          <w:szCs w:val="24"/>
          <w:u w:val="single"/>
        </w:rPr>
        <w:t>Grants control</w:t>
      </w:r>
    </w:p>
    <w:p w14:paraId="246FEF49" w14:textId="77777777" w:rsidR="00FD5491" w:rsidRPr="00FD5491" w:rsidRDefault="00FD5491" w:rsidP="00592DB9">
      <w:pPr>
        <w:rPr>
          <w:rStyle w:val="eop"/>
          <w:rFonts w:ascii="Humnst777 Lt BT" w:hAnsi="Humnst777 Lt BT"/>
          <w:color w:val="000000"/>
          <w:sz w:val="24"/>
          <w:szCs w:val="24"/>
          <w:shd w:val="clear" w:color="auto" w:fill="FFFFFF"/>
        </w:rPr>
      </w:pPr>
      <w:r w:rsidRPr="00FD5491">
        <w:rPr>
          <w:rStyle w:val="normaltextrun"/>
          <w:rFonts w:ascii="Humnst777 Lt BT" w:hAnsi="Humnst777 Lt BT"/>
          <w:color w:val="000000"/>
          <w:sz w:val="24"/>
          <w:szCs w:val="24"/>
          <w:shd w:val="clear" w:color="auto" w:fill="FFFFFF"/>
        </w:rPr>
        <w:t>The Grants control provides an advisory control rather than a spending approval point with varying levels of support offered at tiers of spend. In accordance with the Grants Pipeline Control Framework, departments and their Arm’s Length Bodies are required to provide complete, accurate and timely data on grant schemes and awards, from pipeline to completion. This includes confirmation that the business case has been through an internal functional standard compliant governance route to improve the investment. This will ensure effective oversight via the Complex Grants Advice Panel (CGAP) providing advice to the most complex and high-risk general grant schemes as well as targeting the Government Grant Management Functions (GGMF) provision of expert services.</w:t>
      </w:r>
      <w:r w:rsidRPr="00FD5491">
        <w:rPr>
          <w:rStyle w:val="normaltextrun"/>
          <w:rFonts w:ascii="Arial" w:hAnsi="Arial" w:cs="Arial"/>
          <w:color w:val="000000"/>
          <w:sz w:val="24"/>
          <w:szCs w:val="24"/>
          <w:shd w:val="clear" w:color="auto" w:fill="FFFFFF"/>
        </w:rPr>
        <w:t> </w:t>
      </w:r>
      <w:r w:rsidRPr="00FD5491">
        <w:rPr>
          <w:rStyle w:val="eop"/>
          <w:rFonts w:ascii="Humnst777 Lt BT" w:hAnsi="Humnst777 Lt BT"/>
          <w:color w:val="000000"/>
          <w:sz w:val="24"/>
          <w:szCs w:val="24"/>
          <w:shd w:val="clear" w:color="auto" w:fill="FFFFFF"/>
        </w:rPr>
        <w:t> </w:t>
      </w:r>
    </w:p>
    <w:p w14:paraId="2E74F261" w14:textId="683DC308" w:rsidR="00592DB9" w:rsidRDefault="00592DB9" w:rsidP="00592DB9">
      <w:pPr>
        <w:rPr>
          <w:rFonts w:ascii="Humnst777 Lt BT" w:eastAsia="Humnst777 Lt BT" w:hAnsi="Humnst777 Lt BT" w:cs="Humnst777 Lt BT"/>
          <w:b/>
          <w:sz w:val="24"/>
          <w:szCs w:val="24"/>
          <w:u w:val="single"/>
        </w:rPr>
      </w:pPr>
      <w:r>
        <w:rPr>
          <w:rFonts w:ascii="Humnst777 Lt BT" w:eastAsia="Humnst777 Lt BT" w:hAnsi="Humnst777 Lt BT" w:cs="Humnst777 Lt BT"/>
          <w:b/>
          <w:sz w:val="24"/>
          <w:szCs w:val="24"/>
          <w:u w:val="single"/>
        </w:rPr>
        <w:t>PAO responsibilities / approvals</w:t>
      </w:r>
    </w:p>
    <w:p w14:paraId="57834DFA" w14:textId="77777777" w:rsidR="00592DB9" w:rsidRDefault="00592DB9" w:rsidP="00592DB9">
      <w:pPr>
        <w:rPr>
          <w:rFonts w:ascii="Humnst777 Lt BT" w:eastAsia="Humnst777 Lt BT" w:hAnsi="Humnst777 Lt BT" w:cs="Humnst777 Lt BT"/>
          <w:sz w:val="24"/>
          <w:szCs w:val="24"/>
        </w:rPr>
      </w:pPr>
      <w:r>
        <w:rPr>
          <w:rFonts w:ascii="Humnst777 Lt BT" w:eastAsia="Humnst777 Lt BT" w:hAnsi="Humnst777 Lt BT" w:cs="Humnst777 Lt BT"/>
          <w:sz w:val="24"/>
          <w:szCs w:val="24"/>
        </w:rPr>
        <w:t>As it constitutes a delegation from Treasury consent, spending without the required Cabinet Office approval, or without meeting the conditions set for delegated or Cabinet Office approval, may be considered irregular. As PAO you must immediately notify the Cabinet Office and HM Treasury as soon as you become aware of a breach of spending controls, and the National Audit Office (NAO).</w:t>
      </w:r>
    </w:p>
    <w:p w14:paraId="0D0CCC45" w14:textId="77777777" w:rsidR="00592DB9" w:rsidRDefault="00592DB9" w:rsidP="00592DB9">
      <w:pPr>
        <w:rPr>
          <w:rFonts w:ascii="Humnst777 Lt BT" w:eastAsia="Humnst777 Lt BT" w:hAnsi="Humnst777 Lt BT" w:cs="Humnst777 Lt BT"/>
          <w:b/>
          <w:sz w:val="24"/>
          <w:szCs w:val="24"/>
          <w:u w:val="single"/>
        </w:rPr>
      </w:pPr>
      <w:r>
        <w:rPr>
          <w:rFonts w:ascii="Humnst777 Lt BT" w:eastAsia="Humnst777 Lt BT" w:hAnsi="Humnst777 Lt BT" w:cs="Humnst777 Lt BT"/>
          <w:b/>
          <w:sz w:val="24"/>
          <w:szCs w:val="24"/>
          <w:u w:val="single"/>
        </w:rPr>
        <w:t>Redundancy schemes (HMT and CO approvals)</w:t>
      </w:r>
    </w:p>
    <w:p w14:paraId="42936074" w14:textId="77777777" w:rsidR="00592DB9" w:rsidRDefault="00592DB9" w:rsidP="00592DB9">
      <w:pPr>
        <w:rPr>
          <w:rFonts w:ascii="Humnst777 Lt BT" w:eastAsia="Humnst777 Lt BT" w:hAnsi="Humnst777 Lt BT" w:cs="Humnst777 Lt BT"/>
          <w:sz w:val="24"/>
          <w:szCs w:val="24"/>
        </w:rPr>
      </w:pPr>
      <w:r>
        <w:rPr>
          <w:rFonts w:ascii="Humnst777 Lt BT" w:eastAsia="Humnst777 Lt BT" w:hAnsi="Humnst777 Lt BT" w:cs="Humnst777 Lt BT"/>
          <w:sz w:val="24"/>
          <w:szCs w:val="24"/>
        </w:rPr>
        <w:t>Departments also need to seek Treasury approval for redundancy and compensation schemes where these fall outside delegated authorities, including where this involves a request to draw down funding ring-fenced for redundancy costs in the Spending Review. HM Treasury and Cabinet Office are jointly reviewing the operation of these controls and will notify you of further changes.</w:t>
      </w:r>
    </w:p>
    <w:p w14:paraId="2AE82366" w14:textId="77777777" w:rsidR="00592DB9" w:rsidRDefault="00592DB9" w:rsidP="00592DB9">
      <w:pPr>
        <w:jc w:val="both"/>
        <w:rPr>
          <w:rFonts w:ascii="Humnst777 Lt BT" w:eastAsia="Humnst777 Lt BT" w:hAnsi="Humnst777 Lt BT" w:cs="Humnst777 Lt BT"/>
          <w:sz w:val="24"/>
          <w:szCs w:val="24"/>
        </w:rPr>
      </w:pPr>
      <w:r>
        <w:rPr>
          <w:rFonts w:ascii="Humnst777 Lt BT" w:eastAsia="Humnst777 Lt BT" w:hAnsi="Humnst777 Lt BT" w:cs="Humnst777 Lt BT"/>
          <w:sz w:val="24"/>
          <w:szCs w:val="24"/>
        </w:rPr>
        <w:lastRenderedPageBreak/>
        <w:t xml:space="preserve">In addition, please also note the Cabinet Office Guidance on the use of Settlement Agreements, Special Severance Payments, and Confidentiality Clauses on Termination of Employment. As of </w:t>
      </w:r>
      <w:proofErr w:type="gramStart"/>
      <w:r>
        <w:rPr>
          <w:rFonts w:ascii="Humnst777 Lt BT" w:eastAsia="Humnst777 Lt BT" w:hAnsi="Humnst777 Lt BT" w:cs="Humnst777 Lt BT"/>
          <w:sz w:val="24"/>
          <w:szCs w:val="24"/>
        </w:rPr>
        <w:t>1 February 2015</w:t>
      </w:r>
      <w:proofErr w:type="gramEnd"/>
      <w:r>
        <w:rPr>
          <w:rFonts w:ascii="Humnst777 Lt BT" w:eastAsia="Humnst777 Lt BT" w:hAnsi="Humnst777 Lt BT" w:cs="Humnst777 Lt BT"/>
          <w:sz w:val="24"/>
          <w:szCs w:val="24"/>
        </w:rPr>
        <w:t xml:space="preserve"> Accounting Officers are required to seek the prior approval of the Department’s Minister for any use of a confidentiality clause and then the approval of the Minister for the Cabinet Office in specified criteria, one of which is a proposed payment of £100,000 or more (at any grade).</w:t>
      </w:r>
      <w:r>
        <w:rPr>
          <w:rFonts w:ascii="Humnst777 Lt BT" w:eastAsia="Humnst777 Lt BT" w:hAnsi="Humnst777 Lt BT" w:cs="Humnst777 Lt BT"/>
          <w:sz w:val="24"/>
          <w:szCs w:val="24"/>
          <w:vertAlign w:val="superscript"/>
        </w:rPr>
        <w:footnoteReference w:id="2"/>
      </w:r>
    </w:p>
    <w:p w14:paraId="4D93F135" w14:textId="118EA627" w:rsidR="00AC56B1" w:rsidRPr="00AC56B1" w:rsidRDefault="00AC56B1" w:rsidP="006E41CF">
      <w:pPr>
        <w:spacing w:after="0"/>
        <w:jc w:val="both"/>
        <w:rPr>
          <w:rFonts w:ascii="Humnst777 Lt BT" w:hAnsi="Humnst777 Lt BT"/>
          <w:sz w:val="24"/>
          <w:szCs w:val="24"/>
        </w:rPr>
      </w:pPr>
      <w:r w:rsidRPr="00CE5FCA">
        <w:rPr>
          <w:rFonts w:ascii="Humnst777 Lt BT" w:eastAsiaTheme="majorEastAsia" w:hAnsi="Humnst777 Lt BT" w:cstheme="majorBidi"/>
          <w:b/>
          <w:bCs/>
          <w:color w:val="0070C0"/>
          <w:sz w:val="24"/>
          <w:szCs w:val="24"/>
        </w:rPr>
        <w:t>Special payments</w:t>
      </w:r>
    </w:p>
    <w:p w14:paraId="79E69173" w14:textId="4F2A03C4" w:rsidR="00AC56B1" w:rsidRDefault="00AC56B1" w:rsidP="008A6568">
      <w:pPr>
        <w:spacing w:after="0"/>
        <w:jc w:val="both"/>
        <w:rPr>
          <w:rFonts w:ascii="Humnst777 Lt BT" w:hAnsi="Humnst777 Lt BT"/>
          <w:sz w:val="24"/>
          <w:szCs w:val="24"/>
        </w:rPr>
      </w:pPr>
      <w:r w:rsidRPr="00AC56B1">
        <w:rPr>
          <w:rFonts w:ascii="Humnst777 Lt BT" w:hAnsi="Humnst777 Lt BT"/>
          <w:sz w:val="24"/>
          <w:szCs w:val="24"/>
        </w:rPr>
        <w:t xml:space="preserve">Certain categories of transaction require distinct treatment, including special payments, overpayments, losses &amp; write-offs, gifts, and remedy payments. Annexes 4.10 to 4.14 of </w:t>
      </w:r>
      <w:r w:rsidRPr="0056306E">
        <w:rPr>
          <w:rFonts w:ascii="Humnst777 Lt BT" w:hAnsi="Humnst777 Lt BT"/>
          <w:i/>
          <w:iCs/>
          <w:sz w:val="24"/>
          <w:szCs w:val="24"/>
        </w:rPr>
        <w:t>Managing Public Money</w:t>
      </w:r>
      <w:r w:rsidRPr="00AC56B1">
        <w:rPr>
          <w:rFonts w:ascii="Humnst777 Lt BT" w:hAnsi="Humnst777 Lt BT"/>
          <w:sz w:val="24"/>
          <w:szCs w:val="24"/>
        </w:rPr>
        <w:t xml:space="preserve"> contain guidance on these categories and the circumstances under which Treasury approval </w:t>
      </w:r>
      <w:r w:rsidR="0056306E">
        <w:rPr>
          <w:rFonts w:ascii="Humnst777 Lt BT" w:hAnsi="Humnst777 Lt BT"/>
          <w:sz w:val="24"/>
          <w:szCs w:val="24"/>
        </w:rPr>
        <w:t>must</w:t>
      </w:r>
      <w:r w:rsidRPr="00AC56B1">
        <w:rPr>
          <w:rFonts w:ascii="Humnst777 Lt BT" w:hAnsi="Humnst777 Lt BT"/>
          <w:sz w:val="24"/>
          <w:szCs w:val="24"/>
        </w:rPr>
        <w:t xml:space="preserve"> be sought. You should note that all </w:t>
      </w:r>
      <w:r w:rsidR="00D16D7B">
        <w:rPr>
          <w:rFonts w:ascii="Humnst777 Lt BT" w:hAnsi="Humnst777 Lt BT"/>
          <w:sz w:val="24"/>
          <w:szCs w:val="24"/>
        </w:rPr>
        <w:t xml:space="preserve">severance </w:t>
      </w:r>
      <w:r w:rsidRPr="00AC56B1">
        <w:rPr>
          <w:rFonts w:ascii="Humnst777 Lt BT" w:hAnsi="Humnst777 Lt BT"/>
          <w:sz w:val="24"/>
          <w:szCs w:val="24"/>
        </w:rPr>
        <w:t xml:space="preserve">payments </w:t>
      </w:r>
      <w:r w:rsidR="00D16D7B" w:rsidRPr="006E41CF">
        <w:rPr>
          <w:rFonts w:ascii="Humnst777 Lt BT" w:hAnsi="Humnst777 Lt BT"/>
          <w:color w:val="000000" w:themeColor="text1"/>
          <w:kern w:val="24"/>
          <w:sz w:val="24"/>
          <w:szCs w:val="24"/>
        </w:rPr>
        <w:t>outside of</w:t>
      </w:r>
      <w:r w:rsidR="00D16D7B" w:rsidRPr="00AC56B1">
        <w:rPr>
          <w:rFonts w:ascii="Humnst777 Lt BT" w:hAnsi="Humnst777 Lt BT"/>
          <w:color w:val="000000" w:themeColor="text1"/>
          <w:kern w:val="24"/>
        </w:rPr>
        <w:t xml:space="preserve"> </w:t>
      </w:r>
      <w:r w:rsidR="00D16D7B" w:rsidRPr="00D16D7B">
        <w:rPr>
          <w:rFonts w:ascii="Humnst777 Lt BT" w:hAnsi="Humnst777 Lt BT"/>
          <w:sz w:val="24"/>
          <w:szCs w:val="24"/>
        </w:rPr>
        <w:t>normal statutory or contractual requirements</w:t>
      </w:r>
      <w:r w:rsidR="00D16D7B" w:rsidRPr="00AC56B1">
        <w:rPr>
          <w:rFonts w:ascii="Humnst777 Lt BT" w:hAnsi="Humnst777 Lt BT"/>
          <w:sz w:val="24"/>
          <w:szCs w:val="24"/>
        </w:rPr>
        <w:t xml:space="preserve"> </w:t>
      </w:r>
      <w:r w:rsidRPr="00AC56B1">
        <w:rPr>
          <w:rFonts w:ascii="Humnst777 Lt BT" w:hAnsi="Humnst777 Lt BT"/>
          <w:sz w:val="24"/>
          <w:szCs w:val="24"/>
        </w:rPr>
        <w:t>require Treasury approval and</w:t>
      </w:r>
      <w:r w:rsidR="0056306E">
        <w:rPr>
          <w:rFonts w:ascii="Humnst777 Lt BT" w:hAnsi="Humnst777 Lt BT"/>
          <w:sz w:val="24"/>
          <w:szCs w:val="24"/>
        </w:rPr>
        <w:t>,</w:t>
      </w:r>
      <w:r w:rsidRPr="00AC56B1">
        <w:rPr>
          <w:rFonts w:ascii="Humnst777 Lt BT" w:hAnsi="Humnst777 Lt BT"/>
          <w:sz w:val="24"/>
          <w:szCs w:val="24"/>
        </w:rPr>
        <w:t xml:space="preserve"> unless separately agreed with the Treasury Officer of Accounts (TOA), any consolatory payment of above £500 also requires Treasury approval (further detail set out in annex </w:t>
      </w:r>
      <w:r w:rsidR="00CB00A6">
        <w:rPr>
          <w:rFonts w:ascii="Humnst777 Lt BT" w:hAnsi="Humnst777 Lt BT"/>
          <w:sz w:val="24"/>
          <w:szCs w:val="24"/>
        </w:rPr>
        <w:t>C</w:t>
      </w:r>
      <w:r w:rsidR="0363DEAA" w:rsidRPr="00CB00A6">
        <w:rPr>
          <w:rFonts w:ascii="Humnst777 Lt BT" w:hAnsi="Humnst777 Lt BT"/>
          <w:sz w:val="24"/>
          <w:szCs w:val="24"/>
        </w:rPr>
        <w:t>)</w:t>
      </w:r>
      <w:r w:rsidR="00D16D7B" w:rsidRPr="00CB00A6">
        <w:rPr>
          <w:rFonts w:ascii="Humnst777 Lt BT" w:hAnsi="Humnst777 Lt BT"/>
          <w:sz w:val="24"/>
          <w:szCs w:val="24"/>
        </w:rPr>
        <w:t>.</w:t>
      </w:r>
      <w:r w:rsidR="001D3E9B">
        <w:rPr>
          <w:rFonts w:ascii="Humnst777 Lt BT" w:hAnsi="Humnst777 Lt BT"/>
          <w:sz w:val="24"/>
          <w:szCs w:val="24"/>
        </w:rPr>
        <w:t xml:space="preserve"> </w:t>
      </w:r>
      <w:r w:rsidRPr="00AC56B1">
        <w:rPr>
          <w:rFonts w:ascii="Humnst777 Lt BT" w:hAnsi="Humnst777 Lt BT"/>
          <w:sz w:val="24"/>
          <w:szCs w:val="24"/>
        </w:rPr>
        <w:t>In addition, all payments, regardless of value, require</w:t>
      </w:r>
      <w:r w:rsidR="0056306E">
        <w:rPr>
          <w:rFonts w:ascii="Humnst777 Lt BT" w:hAnsi="Humnst777 Lt BT"/>
          <w:sz w:val="24"/>
          <w:szCs w:val="24"/>
        </w:rPr>
        <w:t xml:space="preserve"> </w:t>
      </w:r>
      <w:r w:rsidRPr="00AC56B1">
        <w:rPr>
          <w:rFonts w:ascii="Humnst777 Lt BT" w:hAnsi="Humnst777 Lt BT"/>
          <w:sz w:val="24"/>
          <w:szCs w:val="24"/>
        </w:rPr>
        <w:t>Treasury approval if they are novel, contentious</w:t>
      </w:r>
      <w:r w:rsidR="00B81A3C">
        <w:rPr>
          <w:rFonts w:ascii="Humnst777 Lt BT" w:hAnsi="Humnst777 Lt BT"/>
          <w:sz w:val="24"/>
          <w:szCs w:val="24"/>
        </w:rPr>
        <w:t>,</w:t>
      </w:r>
      <w:r w:rsidRPr="00AC56B1">
        <w:rPr>
          <w:rFonts w:ascii="Humnst777 Lt BT" w:hAnsi="Humnst777 Lt BT"/>
          <w:sz w:val="24"/>
          <w:szCs w:val="24"/>
        </w:rPr>
        <w:t xml:space="preserve"> or repercussive (paragraph 2.3.4 of </w:t>
      </w:r>
      <w:r w:rsidRPr="003D4839">
        <w:rPr>
          <w:rFonts w:ascii="Humnst777 Lt BT" w:hAnsi="Humnst777 Lt BT"/>
          <w:i/>
          <w:iCs/>
          <w:sz w:val="24"/>
          <w:szCs w:val="24"/>
        </w:rPr>
        <w:t>M</w:t>
      </w:r>
      <w:r w:rsidR="0011789B" w:rsidRPr="003D4839">
        <w:rPr>
          <w:rFonts w:ascii="Humnst777 Lt BT" w:hAnsi="Humnst777 Lt BT"/>
          <w:i/>
          <w:iCs/>
          <w:sz w:val="24"/>
          <w:szCs w:val="24"/>
        </w:rPr>
        <w:t xml:space="preserve">anaging </w:t>
      </w:r>
      <w:r w:rsidRPr="003D4839">
        <w:rPr>
          <w:rFonts w:ascii="Humnst777 Lt BT" w:hAnsi="Humnst777 Lt BT"/>
          <w:i/>
          <w:iCs/>
          <w:sz w:val="24"/>
          <w:szCs w:val="24"/>
        </w:rPr>
        <w:t>P</w:t>
      </w:r>
      <w:r w:rsidR="0011789B" w:rsidRPr="003D4839">
        <w:rPr>
          <w:rFonts w:ascii="Humnst777 Lt BT" w:hAnsi="Humnst777 Lt BT"/>
          <w:i/>
          <w:iCs/>
          <w:sz w:val="24"/>
          <w:szCs w:val="24"/>
        </w:rPr>
        <w:t xml:space="preserve">ublic </w:t>
      </w:r>
      <w:r w:rsidRPr="003D4839">
        <w:rPr>
          <w:rFonts w:ascii="Humnst777 Lt BT" w:hAnsi="Humnst777 Lt BT"/>
          <w:i/>
          <w:iCs/>
          <w:sz w:val="24"/>
          <w:szCs w:val="24"/>
        </w:rPr>
        <w:t>M</w:t>
      </w:r>
      <w:r w:rsidR="0011789B" w:rsidRPr="003D4839">
        <w:rPr>
          <w:rFonts w:ascii="Humnst777 Lt BT" w:hAnsi="Humnst777 Lt BT"/>
          <w:i/>
          <w:iCs/>
          <w:sz w:val="24"/>
          <w:szCs w:val="24"/>
        </w:rPr>
        <w:t>oney</w:t>
      </w:r>
      <w:r w:rsidRPr="00AC56B1">
        <w:rPr>
          <w:rFonts w:ascii="Humnst777 Lt BT" w:hAnsi="Humnst777 Lt BT"/>
          <w:sz w:val="24"/>
          <w:szCs w:val="24"/>
        </w:rPr>
        <w:t>). Anne</w:t>
      </w:r>
      <w:r w:rsidRPr="00CB00A6">
        <w:rPr>
          <w:rFonts w:ascii="Humnst777 Lt BT" w:hAnsi="Humnst777 Lt BT"/>
          <w:sz w:val="24"/>
          <w:szCs w:val="24"/>
        </w:rPr>
        <w:t>x A</w:t>
      </w:r>
      <w:r w:rsidRPr="00AC56B1">
        <w:rPr>
          <w:rFonts w:ascii="Humnst777 Lt BT" w:hAnsi="Humnst777 Lt BT"/>
          <w:sz w:val="24"/>
          <w:szCs w:val="24"/>
        </w:rPr>
        <w:t xml:space="preserve"> of this letter contains further detail on the delegations relating to special payments, overpayments, losses &amp; write-offs, gifts, and remedy payments</w:t>
      </w:r>
      <w:r w:rsidR="00B81A3C">
        <w:rPr>
          <w:rFonts w:ascii="Humnst777 Lt BT" w:hAnsi="Humnst777 Lt BT"/>
          <w:sz w:val="24"/>
          <w:szCs w:val="24"/>
        </w:rPr>
        <w:t xml:space="preserve">. </w:t>
      </w:r>
    </w:p>
    <w:p w14:paraId="1D66EBFB" w14:textId="77777777" w:rsidR="000155A2" w:rsidRPr="00CE5FCA" w:rsidRDefault="000155A2" w:rsidP="008A6568">
      <w:pPr>
        <w:spacing w:after="0"/>
        <w:jc w:val="both"/>
        <w:rPr>
          <w:rFonts w:ascii="Humnst777 Lt BT" w:hAnsi="Humnst777 Lt BT"/>
          <w:color w:val="0070C0"/>
          <w:sz w:val="24"/>
          <w:szCs w:val="24"/>
        </w:rPr>
      </w:pPr>
    </w:p>
    <w:p w14:paraId="1077B1C3" w14:textId="488FED7A" w:rsidR="00835D61" w:rsidRPr="00DB32FA" w:rsidRDefault="00835D61" w:rsidP="008A6568">
      <w:pPr>
        <w:spacing w:after="0"/>
        <w:jc w:val="both"/>
        <w:rPr>
          <w:rFonts w:ascii="Humnst777 Lt BT" w:eastAsiaTheme="majorEastAsia" w:hAnsi="Humnst777 Lt BT" w:cstheme="majorBidi"/>
          <w:b/>
          <w:bCs/>
          <w:color w:val="0070C0"/>
          <w:sz w:val="24"/>
          <w:szCs w:val="24"/>
        </w:rPr>
      </w:pPr>
      <w:r w:rsidRPr="00DB32FA">
        <w:rPr>
          <w:rFonts w:ascii="Humnst777 Lt BT" w:eastAsiaTheme="majorEastAsia" w:hAnsi="Humnst777 Lt BT" w:cstheme="majorBidi"/>
          <w:b/>
          <w:bCs/>
          <w:color w:val="0070C0"/>
          <w:sz w:val="24"/>
          <w:szCs w:val="24"/>
        </w:rPr>
        <w:t>Cont</w:t>
      </w:r>
      <w:r w:rsidR="0026291F" w:rsidRPr="00DB32FA">
        <w:rPr>
          <w:rFonts w:ascii="Humnst777 Lt BT" w:eastAsiaTheme="majorEastAsia" w:hAnsi="Humnst777 Lt BT" w:cstheme="majorBidi"/>
          <w:b/>
          <w:bCs/>
          <w:color w:val="0070C0"/>
          <w:sz w:val="24"/>
          <w:szCs w:val="24"/>
        </w:rPr>
        <w:t>ingent Liabilities</w:t>
      </w:r>
    </w:p>
    <w:p w14:paraId="648BFE84" w14:textId="77777777" w:rsidR="00CA6869" w:rsidRDefault="00DB32FA" w:rsidP="008A6568">
      <w:pPr>
        <w:spacing w:after="0"/>
        <w:jc w:val="both"/>
        <w:rPr>
          <w:rFonts w:ascii="Humnst777 Lt BT" w:eastAsiaTheme="majorEastAsia" w:hAnsi="Humnst777 Lt BT" w:cstheme="majorBidi"/>
          <w:sz w:val="24"/>
          <w:szCs w:val="24"/>
        </w:rPr>
      </w:pPr>
      <w:r>
        <w:rPr>
          <w:rFonts w:ascii="Humnst777 Lt BT" w:eastAsiaTheme="majorEastAsia" w:hAnsi="Humnst777 Lt BT" w:cstheme="majorBidi"/>
          <w:sz w:val="24"/>
          <w:szCs w:val="24"/>
        </w:rPr>
        <w:t xml:space="preserve">HM Treasury must be sought </w:t>
      </w:r>
      <w:r w:rsidR="00CF0421">
        <w:rPr>
          <w:rFonts w:ascii="Humnst777 Lt BT" w:eastAsiaTheme="majorEastAsia" w:hAnsi="Humnst777 Lt BT" w:cstheme="majorBidi"/>
          <w:sz w:val="24"/>
          <w:szCs w:val="24"/>
        </w:rPr>
        <w:t xml:space="preserve">for all </w:t>
      </w:r>
      <w:r w:rsidR="00C9076C">
        <w:rPr>
          <w:rFonts w:ascii="Humnst777 Lt BT" w:eastAsiaTheme="majorEastAsia" w:hAnsi="Humnst777 Lt BT" w:cstheme="majorBidi"/>
          <w:sz w:val="24"/>
          <w:szCs w:val="24"/>
        </w:rPr>
        <w:t xml:space="preserve">commitments that incur </w:t>
      </w:r>
      <w:r w:rsidR="00CF0421">
        <w:rPr>
          <w:rFonts w:ascii="Humnst777 Lt BT" w:eastAsiaTheme="majorEastAsia" w:hAnsi="Humnst777 Lt BT" w:cstheme="majorBidi"/>
          <w:sz w:val="24"/>
          <w:szCs w:val="24"/>
        </w:rPr>
        <w:t>contingent liabilities that are novel, contentious, or repercussive, before they are agreed. In addition, where such proposed contingent liabilities have maximum exposure of £3</w:t>
      </w:r>
      <w:r w:rsidR="00C946FC">
        <w:rPr>
          <w:rFonts w:ascii="Humnst777 Lt BT" w:eastAsiaTheme="majorEastAsia" w:hAnsi="Humnst777 Lt BT" w:cstheme="majorBidi"/>
          <w:sz w:val="24"/>
          <w:szCs w:val="24"/>
        </w:rPr>
        <w:t> </w:t>
      </w:r>
      <w:r w:rsidR="00CF0421">
        <w:rPr>
          <w:rFonts w:ascii="Humnst777 Lt BT" w:eastAsiaTheme="majorEastAsia" w:hAnsi="Humnst777 Lt BT" w:cstheme="majorBidi"/>
          <w:sz w:val="24"/>
          <w:szCs w:val="24"/>
        </w:rPr>
        <w:t>m</w:t>
      </w:r>
      <w:r w:rsidR="00C946FC">
        <w:rPr>
          <w:rFonts w:ascii="Humnst777 Lt BT" w:eastAsiaTheme="majorEastAsia" w:hAnsi="Humnst777 Lt BT" w:cstheme="majorBidi"/>
          <w:sz w:val="24"/>
          <w:szCs w:val="24"/>
        </w:rPr>
        <w:t>illion</w:t>
      </w:r>
      <w:r w:rsidR="00CF0421">
        <w:rPr>
          <w:rFonts w:ascii="Humnst777 Lt BT" w:eastAsiaTheme="majorEastAsia" w:hAnsi="Humnst777 Lt BT" w:cstheme="majorBidi"/>
          <w:sz w:val="24"/>
          <w:szCs w:val="24"/>
        </w:rPr>
        <w:t xml:space="preserve"> or more, a completed Contingent Liability approval framework checklist must be submitted to </w:t>
      </w:r>
      <w:r w:rsidR="00B975AA">
        <w:rPr>
          <w:rFonts w:ascii="Humnst777 Lt BT" w:eastAsiaTheme="majorEastAsia" w:hAnsi="Humnst777 Lt BT" w:cstheme="majorBidi"/>
          <w:sz w:val="24"/>
          <w:szCs w:val="24"/>
        </w:rPr>
        <w:t xml:space="preserve">the </w:t>
      </w:r>
      <w:r w:rsidR="00CF0421">
        <w:rPr>
          <w:rFonts w:ascii="Humnst777 Lt BT" w:eastAsiaTheme="majorEastAsia" w:hAnsi="Humnst777 Lt BT" w:cstheme="majorBidi"/>
          <w:sz w:val="24"/>
          <w:szCs w:val="24"/>
        </w:rPr>
        <w:t>Treasury alongside the request for approval. This process is also required for remote contingent liabilities.</w:t>
      </w:r>
      <w:r w:rsidR="003555D3">
        <w:rPr>
          <w:rStyle w:val="FootnoteReference"/>
          <w:rFonts w:ascii="Humnst777 Lt BT" w:eastAsiaTheme="majorEastAsia" w:hAnsi="Humnst777 Lt BT" w:cstheme="majorBidi"/>
          <w:sz w:val="24"/>
          <w:szCs w:val="24"/>
        </w:rPr>
        <w:footnoteReference w:id="3"/>
      </w:r>
      <w:r w:rsidR="00CF0421">
        <w:rPr>
          <w:rFonts w:ascii="Humnst777 Lt BT" w:eastAsiaTheme="majorEastAsia" w:hAnsi="Humnst777 Lt BT" w:cstheme="majorBidi"/>
          <w:sz w:val="24"/>
          <w:szCs w:val="24"/>
        </w:rPr>
        <w:t xml:space="preserve"> </w:t>
      </w:r>
    </w:p>
    <w:p w14:paraId="2204E73D" w14:textId="77777777" w:rsidR="00CA6869" w:rsidRDefault="00CA6869" w:rsidP="008A6568">
      <w:pPr>
        <w:spacing w:after="0"/>
        <w:jc w:val="both"/>
        <w:rPr>
          <w:rFonts w:ascii="Humnst777 Lt BT" w:eastAsiaTheme="majorEastAsia" w:hAnsi="Humnst777 Lt BT" w:cstheme="majorBidi"/>
          <w:sz w:val="24"/>
          <w:szCs w:val="24"/>
        </w:rPr>
      </w:pPr>
    </w:p>
    <w:p w14:paraId="089BA89B" w14:textId="08FAEB06" w:rsidR="00CA6869" w:rsidRDefault="00C9076C" w:rsidP="008A6568">
      <w:pPr>
        <w:spacing w:after="0"/>
        <w:jc w:val="both"/>
        <w:rPr>
          <w:rFonts w:ascii="Humnst777 Lt BT" w:eastAsiaTheme="majorEastAsia" w:hAnsi="Humnst777 Lt BT" w:cstheme="majorBidi"/>
          <w:sz w:val="24"/>
          <w:szCs w:val="24"/>
        </w:rPr>
      </w:pPr>
      <w:r>
        <w:rPr>
          <w:rFonts w:ascii="Humnst777 Lt BT" w:eastAsiaTheme="majorEastAsia" w:hAnsi="Humnst777 Lt BT" w:cstheme="majorBidi"/>
          <w:sz w:val="24"/>
          <w:szCs w:val="24"/>
        </w:rPr>
        <w:t>For contingent liabilities</w:t>
      </w:r>
      <w:r w:rsidR="00CA6869">
        <w:rPr>
          <w:rFonts w:ascii="Humnst777 Lt BT" w:eastAsiaTheme="majorEastAsia" w:hAnsi="Humnst777 Lt BT" w:cstheme="majorBidi"/>
          <w:sz w:val="24"/>
          <w:szCs w:val="24"/>
        </w:rPr>
        <w:t>, including remote contingent liabilities,</w:t>
      </w:r>
      <w:r>
        <w:rPr>
          <w:rFonts w:ascii="Humnst777 Lt BT" w:eastAsiaTheme="majorEastAsia" w:hAnsi="Humnst777 Lt BT" w:cstheme="majorBidi"/>
          <w:sz w:val="24"/>
          <w:szCs w:val="24"/>
        </w:rPr>
        <w:t xml:space="preserve"> which are not novel, contentious or repercussive, the relevant delegated authority limit will apply</w:t>
      </w:r>
      <w:r w:rsidR="00CA6869">
        <w:rPr>
          <w:rFonts w:ascii="Humnst777 Lt BT" w:eastAsiaTheme="majorEastAsia" w:hAnsi="Humnst777 Lt BT" w:cstheme="majorBidi"/>
          <w:sz w:val="24"/>
          <w:szCs w:val="24"/>
        </w:rPr>
        <w:t>. In such cases, the maximum exposure of the contingent liability should be tested against the relevant delegated authority limit. For example, if the maximum exposure of a contingent liability which extended beyond the spending review period was greater than the delegated authority limit for spending beyond the spending review period, it would require HM Treasury consent.</w:t>
      </w:r>
    </w:p>
    <w:p w14:paraId="5356FE2A" w14:textId="77777777" w:rsidR="00CA6869" w:rsidRDefault="00CA6869" w:rsidP="008A6568">
      <w:pPr>
        <w:spacing w:after="0"/>
        <w:jc w:val="both"/>
        <w:rPr>
          <w:rFonts w:ascii="Humnst777 Lt BT" w:eastAsiaTheme="majorEastAsia" w:hAnsi="Humnst777 Lt BT" w:cstheme="majorBidi"/>
          <w:sz w:val="24"/>
          <w:szCs w:val="24"/>
        </w:rPr>
      </w:pPr>
      <w:r>
        <w:rPr>
          <w:rFonts w:ascii="Humnst777 Lt BT" w:eastAsiaTheme="majorEastAsia" w:hAnsi="Humnst777 Lt BT" w:cstheme="majorBidi"/>
          <w:sz w:val="24"/>
          <w:szCs w:val="24"/>
        </w:rPr>
        <w:t xml:space="preserve"> </w:t>
      </w:r>
    </w:p>
    <w:p w14:paraId="5496486C" w14:textId="298AACF8" w:rsidR="008912AE" w:rsidRPr="00DB32FA" w:rsidRDefault="00C9076C" w:rsidP="008A6568">
      <w:pPr>
        <w:spacing w:after="0"/>
        <w:jc w:val="both"/>
        <w:rPr>
          <w:rFonts w:ascii="Humnst777 Lt BT" w:eastAsiaTheme="majorEastAsia" w:hAnsi="Humnst777 Lt BT" w:cstheme="majorBidi"/>
          <w:sz w:val="24"/>
          <w:szCs w:val="24"/>
        </w:rPr>
      </w:pPr>
      <w:r>
        <w:rPr>
          <w:rFonts w:ascii="Humnst777 Lt BT" w:eastAsiaTheme="majorEastAsia" w:hAnsi="Humnst777 Lt BT" w:cstheme="majorBidi"/>
          <w:sz w:val="24"/>
          <w:szCs w:val="24"/>
        </w:rPr>
        <w:lastRenderedPageBreak/>
        <w:t>Departments may enter into a limited range of normal course of business contingent liabilitie</w:t>
      </w:r>
      <w:r w:rsidR="00CA6869">
        <w:rPr>
          <w:rFonts w:ascii="Humnst777 Lt BT" w:eastAsiaTheme="majorEastAsia" w:hAnsi="Humnst777 Lt BT" w:cstheme="majorBidi"/>
          <w:sz w:val="24"/>
          <w:szCs w:val="24"/>
        </w:rPr>
        <w:t xml:space="preserve">s outside of these delegations, as </w:t>
      </w:r>
      <w:r w:rsidR="00C321D4">
        <w:rPr>
          <w:rFonts w:ascii="Humnst777 Lt BT" w:eastAsiaTheme="majorEastAsia" w:hAnsi="Humnst777 Lt BT" w:cstheme="majorBidi"/>
          <w:sz w:val="24"/>
          <w:szCs w:val="24"/>
        </w:rPr>
        <w:t>described</w:t>
      </w:r>
      <w:r w:rsidR="00CA6869">
        <w:rPr>
          <w:rFonts w:ascii="Humnst777 Lt BT" w:eastAsiaTheme="majorEastAsia" w:hAnsi="Humnst777 Lt BT" w:cstheme="majorBidi"/>
          <w:sz w:val="24"/>
          <w:szCs w:val="24"/>
        </w:rPr>
        <w:t xml:space="preserve"> in Managing Public Money, Chapter 5 and Annex 5.4 (e.g. standard indemnities to board members).</w:t>
      </w:r>
    </w:p>
    <w:p w14:paraId="64FAFF2E" w14:textId="77777777" w:rsidR="00CF0421" w:rsidRDefault="00CF0421" w:rsidP="008A6568">
      <w:pPr>
        <w:spacing w:after="0"/>
        <w:jc w:val="both"/>
        <w:rPr>
          <w:rFonts w:ascii="Arial" w:hAnsi="Arial" w:cs="Arial"/>
          <w:color w:val="000000"/>
        </w:rPr>
      </w:pPr>
    </w:p>
    <w:p w14:paraId="37AA89F2" w14:textId="224FA85F" w:rsidR="008912AE" w:rsidRPr="00994853" w:rsidRDefault="008912AE" w:rsidP="008A6568">
      <w:pPr>
        <w:spacing w:after="0"/>
        <w:jc w:val="both"/>
        <w:rPr>
          <w:rFonts w:ascii="Humnst777 Lt BT" w:eastAsiaTheme="majorEastAsia" w:hAnsi="Humnst777 Lt BT" w:cstheme="majorBidi"/>
          <w:b/>
          <w:bCs/>
          <w:color w:val="0070C0"/>
          <w:sz w:val="24"/>
          <w:szCs w:val="24"/>
        </w:rPr>
      </w:pPr>
      <w:r w:rsidRPr="00994853">
        <w:rPr>
          <w:rFonts w:ascii="Humnst777 Lt BT" w:eastAsiaTheme="majorEastAsia" w:hAnsi="Humnst777 Lt BT" w:cstheme="majorBidi"/>
          <w:b/>
          <w:bCs/>
          <w:color w:val="0070C0"/>
          <w:sz w:val="24"/>
          <w:szCs w:val="24"/>
        </w:rPr>
        <w:t>New Services and Sole Authority</w:t>
      </w:r>
    </w:p>
    <w:p w14:paraId="2BE4CDCF" w14:textId="50F6A61A" w:rsidR="008912AE" w:rsidRPr="00994853" w:rsidRDefault="008912AE" w:rsidP="008912AE">
      <w:pPr>
        <w:spacing w:after="240"/>
        <w:rPr>
          <w:rFonts w:ascii="Humnst777 Lt BT" w:hAnsi="Humnst777 Lt BT" w:cs="Arial"/>
          <w:color w:val="000000"/>
          <w:sz w:val="24"/>
          <w:szCs w:val="24"/>
        </w:rPr>
      </w:pPr>
      <w:r w:rsidRPr="00994853">
        <w:rPr>
          <w:rFonts w:ascii="Humnst777 Lt BT" w:hAnsi="Humnst777 Lt BT"/>
          <w:sz w:val="24"/>
          <w:szCs w:val="24"/>
        </w:rPr>
        <w:t xml:space="preserve">HM Treasury agreement is also needed to introduce </w:t>
      </w:r>
      <w:r w:rsidR="002B5435">
        <w:rPr>
          <w:rFonts w:ascii="Humnst777 Lt BT" w:hAnsi="Humnst777 Lt BT"/>
          <w:sz w:val="24"/>
          <w:szCs w:val="24"/>
        </w:rPr>
        <w:t>n</w:t>
      </w:r>
      <w:r w:rsidRPr="00994853">
        <w:rPr>
          <w:rFonts w:ascii="Humnst777 Lt BT" w:hAnsi="Humnst777 Lt BT"/>
          <w:sz w:val="24"/>
          <w:szCs w:val="24"/>
        </w:rPr>
        <w:t xml:space="preserve">ew </w:t>
      </w:r>
      <w:r w:rsidR="002B5435">
        <w:rPr>
          <w:rFonts w:ascii="Humnst777 Lt BT" w:hAnsi="Humnst777 Lt BT"/>
          <w:sz w:val="24"/>
          <w:szCs w:val="24"/>
        </w:rPr>
        <w:t>s</w:t>
      </w:r>
      <w:r w:rsidRPr="00994853">
        <w:rPr>
          <w:rFonts w:ascii="Humnst777 Lt BT" w:hAnsi="Humnst777 Lt BT"/>
          <w:sz w:val="24"/>
          <w:szCs w:val="24"/>
        </w:rPr>
        <w:t xml:space="preserve">ervices on the sole authority </w:t>
      </w:r>
      <w:r w:rsidRPr="00994853">
        <w:rPr>
          <w:rFonts w:ascii="Humnst777 Lt BT" w:hAnsi="Humnst777 Lt BT" w:cs="Arial"/>
          <w:color w:val="000000"/>
          <w:sz w:val="24"/>
          <w:szCs w:val="24"/>
        </w:rPr>
        <w:t xml:space="preserve">of the Supply and Appropriations Acts. </w:t>
      </w:r>
      <w:r w:rsidR="00994853" w:rsidRPr="00994853">
        <w:rPr>
          <w:rFonts w:ascii="Humnst777 Lt BT" w:hAnsi="Humnst777 Lt BT" w:cs="Arial"/>
          <w:color w:val="000000"/>
          <w:sz w:val="24"/>
          <w:szCs w:val="24"/>
        </w:rPr>
        <w:t xml:space="preserve">New </w:t>
      </w:r>
      <w:r w:rsidR="005125C6">
        <w:rPr>
          <w:rFonts w:ascii="Humnst777 Lt BT" w:hAnsi="Humnst777 Lt BT" w:cs="Arial"/>
          <w:color w:val="000000"/>
          <w:sz w:val="24"/>
          <w:szCs w:val="24"/>
        </w:rPr>
        <w:t>s</w:t>
      </w:r>
      <w:r w:rsidR="00994853" w:rsidRPr="00994853">
        <w:rPr>
          <w:rFonts w:ascii="Humnst777 Lt BT" w:hAnsi="Humnst777 Lt BT" w:cs="Arial"/>
          <w:color w:val="000000"/>
          <w:sz w:val="24"/>
          <w:szCs w:val="24"/>
        </w:rPr>
        <w:t xml:space="preserve">ervices can never be introduced on a permanent footing without legislation, but there is a temporary services derogation that may be used for services lasting no more than two years in total. Using this derogation requires agreement from </w:t>
      </w:r>
      <w:r w:rsidR="008F5062">
        <w:rPr>
          <w:rFonts w:ascii="Humnst777 Lt BT" w:hAnsi="Humnst777 Lt BT" w:cs="Arial"/>
          <w:color w:val="000000"/>
          <w:sz w:val="24"/>
          <w:szCs w:val="24"/>
        </w:rPr>
        <w:t>the</w:t>
      </w:r>
      <w:r w:rsidR="008F5062" w:rsidRPr="00994853">
        <w:rPr>
          <w:rFonts w:ascii="Humnst777 Lt BT" w:hAnsi="Humnst777 Lt BT" w:cs="Arial"/>
          <w:color w:val="000000"/>
          <w:sz w:val="24"/>
          <w:szCs w:val="24"/>
        </w:rPr>
        <w:t xml:space="preserve"> </w:t>
      </w:r>
      <w:r w:rsidR="00994853" w:rsidRPr="00994853">
        <w:rPr>
          <w:rFonts w:ascii="Humnst777 Lt BT" w:hAnsi="Humnst777 Lt BT" w:cs="Arial"/>
          <w:color w:val="000000"/>
          <w:sz w:val="24"/>
          <w:szCs w:val="24"/>
        </w:rPr>
        <w:t xml:space="preserve">Treasury. </w:t>
      </w:r>
    </w:p>
    <w:p w14:paraId="354947E6" w14:textId="4D8CFD8D" w:rsidR="008912AE" w:rsidRPr="00994853" w:rsidRDefault="008912AE" w:rsidP="008A6568">
      <w:pPr>
        <w:spacing w:after="0"/>
        <w:jc w:val="both"/>
        <w:rPr>
          <w:rFonts w:ascii="Humnst777 Lt BT" w:eastAsiaTheme="majorEastAsia" w:hAnsi="Humnst777 Lt BT" w:cstheme="majorBidi"/>
          <w:b/>
          <w:bCs/>
          <w:color w:val="0070C0"/>
          <w:sz w:val="24"/>
          <w:szCs w:val="24"/>
        </w:rPr>
      </w:pPr>
      <w:r w:rsidRPr="00994853">
        <w:rPr>
          <w:rFonts w:ascii="Humnst777 Lt BT" w:eastAsiaTheme="majorEastAsia" w:hAnsi="Humnst777 Lt BT" w:cstheme="majorBidi"/>
          <w:b/>
          <w:bCs/>
          <w:color w:val="0070C0"/>
          <w:sz w:val="24"/>
          <w:szCs w:val="24"/>
        </w:rPr>
        <w:t>Fees and Charges</w:t>
      </w:r>
    </w:p>
    <w:p w14:paraId="415E31E1" w14:textId="77777777" w:rsidR="008912AE" w:rsidRPr="00994853" w:rsidRDefault="008912AE" w:rsidP="008912AE">
      <w:pPr>
        <w:spacing w:after="240"/>
        <w:rPr>
          <w:rFonts w:ascii="Humnst777 Lt BT" w:hAnsi="Humnst777 Lt BT" w:cs="Arial"/>
          <w:color w:val="000000"/>
          <w:sz w:val="24"/>
          <w:szCs w:val="24"/>
        </w:rPr>
      </w:pPr>
      <w:r w:rsidRPr="00994853">
        <w:rPr>
          <w:rFonts w:ascii="Humnst777 Lt BT" w:hAnsi="Humnst777 Lt BT" w:cs="Arial"/>
          <w:color w:val="000000"/>
          <w:sz w:val="24"/>
          <w:szCs w:val="24"/>
        </w:rPr>
        <w:t xml:space="preserve">Treasury agreement is needed to introduce or modify fees and charges schemes and for any proposal to retain fee and charge income to finance expenditure. </w:t>
      </w:r>
    </w:p>
    <w:p w14:paraId="1E6D7E7A" w14:textId="277747E9" w:rsidR="002935A0" w:rsidRDefault="002838EE" w:rsidP="008A6568">
      <w:pPr>
        <w:spacing w:after="0"/>
        <w:jc w:val="both"/>
        <w:rPr>
          <w:rFonts w:ascii="Humnst777 Lt BT" w:hAnsi="Humnst777 Lt BT"/>
          <w:sz w:val="24"/>
          <w:szCs w:val="24"/>
        </w:rPr>
      </w:pPr>
      <w:r>
        <w:rPr>
          <w:rFonts w:ascii="Humnst777 Lt BT" w:hAnsi="Humnst777 Lt BT"/>
          <w:b/>
          <w:color w:val="2E74B5" w:themeColor="accent1" w:themeShade="BF"/>
          <w:sz w:val="24"/>
          <w:szCs w:val="24"/>
        </w:rPr>
        <w:t>Banking and Cash Management</w:t>
      </w:r>
    </w:p>
    <w:p w14:paraId="56F6E3D5" w14:textId="7C88AA9A" w:rsidR="000F1123" w:rsidRPr="00B67D34" w:rsidRDefault="002838EE" w:rsidP="000F1123">
      <w:pPr>
        <w:spacing w:after="0"/>
        <w:jc w:val="both"/>
        <w:rPr>
          <w:rFonts w:ascii="Humnst777 Lt BT" w:hAnsi="Humnst777 Lt BT"/>
          <w:sz w:val="24"/>
          <w:szCs w:val="24"/>
        </w:rPr>
      </w:pPr>
      <w:r w:rsidRPr="00A1513E">
        <w:rPr>
          <w:rFonts w:ascii="Humnst777 Lt BT" w:hAnsi="Humnst777 Lt BT"/>
          <w:b/>
          <w:color w:val="2E74B5" w:themeColor="accent1" w:themeShade="BF"/>
          <w:sz w:val="24"/>
          <w:szCs w:val="24"/>
        </w:rPr>
        <w:t>[Department name]</w:t>
      </w:r>
      <w:r>
        <w:rPr>
          <w:rFonts w:ascii="Humnst777 Lt BT" w:hAnsi="Humnst777 Lt BT"/>
          <w:b/>
          <w:color w:val="2E74B5" w:themeColor="accent1" w:themeShade="BF"/>
          <w:sz w:val="24"/>
          <w:szCs w:val="24"/>
        </w:rPr>
        <w:t xml:space="preserve"> </w:t>
      </w:r>
      <w:r w:rsidR="000F1123" w:rsidRPr="00B67D34">
        <w:rPr>
          <w:rFonts w:ascii="Humnst777 Lt BT" w:hAnsi="Humnst777 Lt BT"/>
          <w:sz w:val="24"/>
          <w:szCs w:val="24"/>
        </w:rPr>
        <w:t>must maximise the use of publicly procured banking services (accounts with commercial banks managed centrally by Government Banking). Departments should only hold funds outside of the Exchequer where a good business case can be made for doing so. It should also be noted that specific</w:t>
      </w:r>
      <w:r w:rsidR="0056306E">
        <w:rPr>
          <w:rFonts w:ascii="Humnst777 Lt BT" w:hAnsi="Humnst777 Lt BT"/>
          <w:sz w:val="24"/>
          <w:szCs w:val="24"/>
        </w:rPr>
        <w:t xml:space="preserve"> </w:t>
      </w:r>
      <w:r w:rsidR="000F1123" w:rsidRPr="00B67D34">
        <w:rPr>
          <w:rFonts w:ascii="Humnst777 Lt BT" w:hAnsi="Humnst777 Lt BT"/>
          <w:sz w:val="24"/>
          <w:szCs w:val="24"/>
        </w:rPr>
        <w:t xml:space="preserve">Treasury agreement to each commercial account is required before it is established. Further details are set out in the Banking and managing cash annex of </w:t>
      </w:r>
      <w:r w:rsidR="000F1123" w:rsidRPr="003D4839">
        <w:rPr>
          <w:rFonts w:ascii="Humnst777 Lt BT" w:hAnsi="Humnst777 Lt BT"/>
          <w:i/>
          <w:iCs/>
          <w:sz w:val="24"/>
          <w:szCs w:val="24"/>
        </w:rPr>
        <w:t>Managing Public Money</w:t>
      </w:r>
      <w:r w:rsidR="000F1123" w:rsidRPr="00B67D34">
        <w:rPr>
          <w:rFonts w:ascii="Humnst777 Lt BT" w:hAnsi="Humnst777 Lt BT"/>
          <w:sz w:val="24"/>
          <w:szCs w:val="24"/>
        </w:rPr>
        <w:t xml:space="preserve">. This also provides guidance on banking policy. As a matter of good financial management, </w:t>
      </w:r>
      <w:r w:rsidR="000F4883" w:rsidRPr="00A1513E">
        <w:rPr>
          <w:rFonts w:ascii="Humnst777 Lt BT" w:hAnsi="Humnst777 Lt BT"/>
          <w:b/>
          <w:color w:val="2E74B5" w:themeColor="accent1" w:themeShade="BF"/>
          <w:sz w:val="24"/>
          <w:szCs w:val="24"/>
        </w:rPr>
        <w:t>[Department name]</w:t>
      </w:r>
      <w:r w:rsidR="000F1123" w:rsidRPr="00B67D34">
        <w:rPr>
          <w:rFonts w:ascii="Humnst777 Lt BT" w:hAnsi="Humnst777 Lt BT"/>
          <w:sz w:val="24"/>
          <w:szCs w:val="24"/>
        </w:rPr>
        <w:t xml:space="preserve"> should never go overdrawn. </w:t>
      </w:r>
    </w:p>
    <w:p w14:paraId="588F432F" w14:textId="77777777" w:rsidR="000F1123" w:rsidRPr="00B67D34" w:rsidRDefault="000F1123" w:rsidP="000F1123">
      <w:pPr>
        <w:spacing w:after="0"/>
        <w:jc w:val="both"/>
        <w:rPr>
          <w:rFonts w:ascii="Humnst777 Lt BT" w:hAnsi="Humnst777 Lt BT"/>
          <w:sz w:val="24"/>
          <w:szCs w:val="24"/>
        </w:rPr>
      </w:pPr>
    </w:p>
    <w:p w14:paraId="0B1155FE" w14:textId="14E52196" w:rsidR="000F1123" w:rsidRPr="00B67D34" w:rsidRDefault="000F1123" w:rsidP="000F1123">
      <w:pPr>
        <w:spacing w:after="0"/>
        <w:jc w:val="both"/>
        <w:rPr>
          <w:rFonts w:ascii="Humnst777 Lt BT" w:hAnsi="Humnst777 Lt BT"/>
          <w:sz w:val="24"/>
          <w:szCs w:val="24"/>
        </w:rPr>
      </w:pPr>
      <w:r w:rsidRPr="00B67D34">
        <w:rPr>
          <w:rFonts w:ascii="Humnst777 Lt BT" w:hAnsi="Humnst777 Lt BT"/>
          <w:sz w:val="24"/>
          <w:szCs w:val="24"/>
        </w:rPr>
        <w:t>As part of its delegated authority,</w:t>
      </w:r>
      <w:r w:rsidR="000F4883">
        <w:rPr>
          <w:rFonts w:ascii="Humnst777 Lt BT" w:hAnsi="Humnst777 Lt BT"/>
          <w:sz w:val="24"/>
          <w:szCs w:val="24"/>
        </w:rPr>
        <w:t xml:space="preserve"> </w:t>
      </w:r>
      <w:r w:rsidR="000F4883" w:rsidRPr="00A1513E">
        <w:rPr>
          <w:rFonts w:ascii="Humnst777 Lt BT" w:hAnsi="Humnst777 Lt BT"/>
          <w:b/>
          <w:color w:val="2E74B5" w:themeColor="accent1" w:themeShade="BF"/>
          <w:sz w:val="24"/>
          <w:szCs w:val="24"/>
        </w:rPr>
        <w:t>[Department name]</w:t>
      </w:r>
      <w:r w:rsidR="000F4883">
        <w:rPr>
          <w:rFonts w:ascii="Humnst777 Lt BT" w:hAnsi="Humnst777 Lt BT"/>
          <w:b/>
          <w:color w:val="2E74B5" w:themeColor="accent1" w:themeShade="BF"/>
          <w:sz w:val="24"/>
          <w:szCs w:val="24"/>
        </w:rPr>
        <w:t xml:space="preserve"> </w:t>
      </w:r>
      <w:r w:rsidRPr="00B67D34">
        <w:rPr>
          <w:rFonts w:ascii="Humnst777 Lt BT" w:hAnsi="Humnst777 Lt BT"/>
          <w:sz w:val="24"/>
          <w:szCs w:val="24"/>
        </w:rPr>
        <w:t xml:space="preserve">should plan its own cash management efficiently. </w:t>
      </w:r>
      <w:bookmarkStart w:id="0" w:name="_Hlk63165033"/>
      <w:r w:rsidRPr="00B67D34">
        <w:rPr>
          <w:rFonts w:ascii="Humnst777 Lt BT" w:hAnsi="Humnst777 Lt BT"/>
          <w:sz w:val="24"/>
          <w:szCs w:val="24"/>
        </w:rPr>
        <w:t xml:space="preserve">Departments must support central cash management processes through forecasting of their cashflow via the cash management scheme as set out in guidance on OneFinance and </w:t>
      </w:r>
      <w:r w:rsidRPr="003D4839">
        <w:rPr>
          <w:rFonts w:ascii="Humnst777 Lt BT" w:hAnsi="Humnst777 Lt BT"/>
          <w:i/>
          <w:iCs/>
          <w:sz w:val="24"/>
          <w:szCs w:val="24"/>
        </w:rPr>
        <w:t>M</w:t>
      </w:r>
      <w:r w:rsidR="00DF4C22" w:rsidRPr="003D4839">
        <w:rPr>
          <w:rFonts w:ascii="Humnst777 Lt BT" w:hAnsi="Humnst777 Lt BT"/>
          <w:i/>
          <w:iCs/>
          <w:sz w:val="24"/>
          <w:szCs w:val="24"/>
        </w:rPr>
        <w:t xml:space="preserve">anaging </w:t>
      </w:r>
      <w:r w:rsidRPr="003D4839">
        <w:rPr>
          <w:rFonts w:ascii="Humnst777 Lt BT" w:hAnsi="Humnst777 Lt BT"/>
          <w:i/>
          <w:iCs/>
          <w:sz w:val="24"/>
          <w:szCs w:val="24"/>
        </w:rPr>
        <w:t>P</w:t>
      </w:r>
      <w:r w:rsidR="00DF4C22" w:rsidRPr="003D4839">
        <w:rPr>
          <w:rFonts w:ascii="Humnst777 Lt BT" w:hAnsi="Humnst777 Lt BT"/>
          <w:i/>
          <w:iCs/>
          <w:sz w:val="24"/>
          <w:szCs w:val="24"/>
        </w:rPr>
        <w:t xml:space="preserve">ublic </w:t>
      </w:r>
      <w:r w:rsidRPr="003D4839">
        <w:rPr>
          <w:rFonts w:ascii="Humnst777 Lt BT" w:hAnsi="Humnst777 Lt BT"/>
          <w:i/>
          <w:iCs/>
          <w:sz w:val="24"/>
          <w:szCs w:val="24"/>
        </w:rPr>
        <w:t>M</w:t>
      </w:r>
      <w:r w:rsidR="00DF4C22" w:rsidRPr="003D4839">
        <w:rPr>
          <w:rFonts w:ascii="Humnst777 Lt BT" w:hAnsi="Humnst777 Lt BT"/>
          <w:i/>
          <w:iCs/>
          <w:sz w:val="24"/>
          <w:szCs w:val="24"/>
        </w:rPr>
        <w:t>oney</w:t>
      </w:r>
      <w:r w:rsidRPr="00B67D34">
        <w:rPr>
          <w:rFonts w:ascii="Humnst777 Lt BT" w:hAnsi="Humnst777 Lt BT"/>
          <w:sz w:val="24"/>
          <w:szCs w:val="24"/>
        </w:rPr>
        <w:t xml:space="preserve">. This captures </w:t>
      </w:r>
      <w:r w:rsidR="00CA6869">
        <w:rPr>
          <w:rFonts w:ascii="Humnst777 Lt BT" w:hAnsi="Humnst777 Lt BT"/>
          <w:sz w:val="24"/>
          <w:szCs w:val="24"/>
        </w:rPr>
        <w:t>d</w:t>
      </w:r>
      <w:r w:rsidRPr="00B67D34">
        <w:rPr>
          <w:rFonts w:ascii="Humnst777 Lt BT" w:hAnsi="Humnst777 Lt BT"/>
          <w:sz w:val="24"/>
          <w:szCs w:val="24"/>
        </w:rPr>
        <w:t>epartment</w:t>
      </w:r>
      <w:r w:rsidR="00CA6869">
        <w:rPr>
          <w:rFonts w:ascii="Humnst777 Lt BT" w:hAnsi="Humnst777 Lt BT"/>
          <w:sz w:val="24"/>
          <w:szCs w:val="24"/>
        </w:rPr>
        <w:t>’</w:t>
      </w:r>
      <w:r w:rsidRPr="00B67D34">
        <w:rPr>
          <w:rFonts w:ascii="Humnst777 Lt BT" w:hAnsi="Humnst777 Lt BT"/>
          <w:sz w:val="24"/>
          <w:szCs w:val="24"/>
        </w:rPr>
        <w:t>s inflows and outflows at the point they leave the department’s group of accounts within the exchequer.</w:t>
      </w:r>
      <w:bookmarkEnd w:id="0"/>
    </w:p>
    <w:p w14:paraId="331CA4AD" w14:textId="77777777" w:rsidR="000F1123" w:rsidRPr="00B67D34" w:rsidRDefault="000F1123" w:rsidP="000F1123">
      <w:pPr>
        <w:spacing w:after="0"/>
        <w:jc w:val="both"/>
        <w:rPr>
          <w:rFonts w:ascii="Humnst777 Lt BT" w:hAnsi="Humnst777 Lt BT"/>
          <w:sz w:val="24"/>
          <w:szCs w:val="24"/>
        </w:rPr>
      </w:pPr>
    </w:p>
    <w:p w14:paraId="6CE64B8C" w14:textId="62086B00" w:rsidR="000F1123" w:rsidRPr="00B67D34" w:rsidRDefault="000F1123" w:rsidP="000F1123">
      <w:pPr>
        <w:spacing w:after="0"/>
        <w:jc w:val="both"/>
        <w:rPr>
          <w:rFonts w:ascii="Humnst777 Lt BT" w:hAnsi="Humnst777 Lt BT"/>
          <w:sz w:val="24"/>
          <w:szCs w:val="24"/>
        </w:rPr>
      </w:pPr>
      <w:r w:rsidRPr="00B67D34">
        <w:rPr>
          <w:rFonts w:ascii="Humnst777 Lt BT" w:hAnsi="Humnst777 Lt BT"/>
          <w:sz w:val="24"/>
          <w:szCs w:val="24"/>
        </w:rPr>
        <w:t>For effective cash management it is important to distinguish cash flow from accrued budgets. Cash flow should be profiled for each day to inform Exchequer Funds and Accounts (EFA) of the Exchequer’s demand for cash and expectations of income on a daily, weekly and monthly basis. The Debt Management Office (DMO) relies on the accuracy of this information to minimise the risks and cost of managing the government’s overall cash position daily, and therefore the earliest possible communication with EFA on changes to cash flow is essential</w:t>
      </w:r>
      <w:r w:rsidR="0056306E">
        <w:rPr>
          <w:rFonts w:ascii="Humnst777 Lt BT" w:hAnsi="Humnst777 Lt BT"/>
          <w:sz w:val="24"/>
          <w:szCs w:val="24"/>
        </w:rPr>
        <w:t xml:space="preserve">. </w:t>
      </w:r>
    </w:p>
    <w:p w14:paraId="030196DC" w14:textId="7B911F9F" w:rsidR="006002AB" w:rsidRDefault="006002AB" w:rsidP="00A071ED">
      <w:pPr>
        <w:pStyle w:val="ListParagraph"/>
        <w:spacing w:after="0"/>
        <w:ind w:left="0"/>
        <w:jc w:val="both"/>
        <w:rPr>
          <w:rFonts w:ascii="Humnst777 Lt BT" w:hAnsi="Humnst777 Lt BT"/>
          <w:sz w:val="24"/>
          <w:szCs w:val="24"/>
        </w:rPr>
      </w:pPr>
    </w:p>
    <w:p w14:paraId="3920F08D" w14:textId="77777777" w:rsidR="006002AB" w:rsidRDefault="006002AB" w:rsidP="006002AB">
      <w:pPr>
        <w:pStyle w:val="Heading1"/>
        <w:spacing w:before="0"/>
        <w:rPr>
          <w:rFonts w:ascii="Humnst777 Lt BT" w:eastAsia="Times New Roman" w:hAnsi="Humnst777 Lt BT"/>
          <w:color w:val="0070C0"/>
          <w:sz w:val="24"/>
          <w:szCs w:val="24"/>
        </w:rPr>
      </w:pPr>
      <w:r>
        <w:rPr>
          <w:rFonts w:ascii="Humnst777 Lt BT" w:eastAsia="Times New Roman" w:hAnsi="Humnst777 Lt BT"/>
          <w:color w:val="0070C0"/>
          <w:sz w:val="24"/>
          <w:szCs w:val="24"/>
        </w:rPr>
        <w:t>Delegated authorities for Arms-Length Bodies</w:t>
      </w:r>
    </w:p>
    <w:p w14:paraId="3FB92A17" w14:textId="583A5BE0" w:rsidR="006002AB" w:rsidRDefault="006002AB" w:rsidP="006002AB">
      <w:pPr>
        <w:pStyle w:val="ListParagraph"/>
        <w:spacing w:after="0"/>
        <w:ind w:left="0"/>
        <w:jc w:val="both"/>
        <w:rPr>
          <w:rFonts w:ascii="Humnst777 Lt BT" w:hAnsi="Humnst777 Lt BT"/>
          <w:sz w:val="24"/>
          <w:szCs w:val="24"/>
        </w:rPr>
      </w:pPr>
      <w:r>
        <w:rPr>
          <w:rFonts w:ascii="Humnst777 Lt BT" w:hAnsi="Humnst777 Lt BT"/>
          <w:sz w:val="24"/>
          <w:szCs w:val="24"/>
        </w:rPr>
        <w:t xml:space="preserve">The delegated authorities to the </w:t>
      </w:r>
      <w:r>
        <w:rPr>
          <w:rFonts w:ascii="Humnst777 Lt BT" w:hAnsi="Humnst777 Lt BT"/>
          <w:b/>
          <w:bCs/>
          <w:color w:val="2F5496"/>
          <w:sz w:val="24"/>
          <w:szCs w:val="24"/>
        </w:rPr>
        <w:t xml:space="preserve">[Department name]’s </w:t>
      </w:r>
      <w:r>
        <w:rPr>
          <w:rFonts w:ascii="Humnst777 Lt BT" w:hAnsi="Humnst777 Lt BT"/>
          <w:sz w:val="24"/>
          <w:szCs w:val="24"/>
        </w:rPr>
        <w:t xml:space="preserve">executive agencies, non-departmental public bodies or other sponsored bodies should be set out in a delegation </w:t>
      </w:r>
      <w:r>
        <w:rPr>
          <w:rFonts w:ascii="Humnst777 Lt BT" w:hAnsi="Humnst777 Lt BT"/>
          <w:sz w:val="24"/>
          <w:szCs w:val="24"/>
        </w:rPr>
        <w:lastRenderedPageBreak/>
        <w:t xml:space="preserve">letter that follows the format of and content of this letter. These should be reviewed regularly and shared with HM Treasury. </w:t>
      </w:r>
      <w:r w:rsidR="00A27D7E">
        <w:rPr>
          <w:rFonts w:ascii="Humnst777 Lt BT" w:hAnsi="Humnst777 Lt BT"/>
          <w:sz w:val="24"/>
          <w:szCs w:val="24"/>
        </w:rPr>
        <w:t xml:space="preserve">Delegations for </w:t>
      </w:r>
      <w:r w:rsidR="00750B7F">
        <w:rPr>
          <w:rFonts w:ascii="Humnst777 Lt BT" w:hAnsi="Humnst777 Lt BT"/>
          <w:sz w:val="24"/>
          <w:szCs w:val="24"/>
        </w:rPr>
        <w:t>Arm’s Length</w:t>
      </w:r>
      <w:r w:rsidR="00A27D7E">
        <w:rPr>
          <w:rFonts w:ascii="Humnst777 Lt BT" w:hAnsi="Humnst777 Lt BT"/>
          <w:sz w:val="24"/>
          <w:szCs w:val="24"/>
        </w:rPr>
        <w:t xml:space="preserve"> Bodies should be within the department’s own delegations</w:t>
      </w:r>
      <w:r w:rsidR="00750B7F">
        <w:rPr>
          <w:rFonts w:ascii="Humnst777 Lt BT" w:hAnsi="Humnst777 Lt BT"/>
          <w:sz w:val="24"/>
          <w:szCs w:val="24"/>
        </w:rPr>
        <w:t xml:space="preserve">. </w:t>
      </w:r>
      <w:r w:rsidR="007608F4">
        <w:rPr>
          <w:rFonts w:ascii="Humnst777 Lt BT" w:hAnsi="Humnst777 Lt BT"/>
          <w:sz w:val="24"/>
          <w:szCs w:val="24"/>
        </w:rPr>
        <w:t xml:space="preserve">Any delegations which do not </w:t>
      </w:r>
      <w:r w:rsidR="00DE3ED9">
        <w:rPr>
          <w:rFonts w:ascii="Humnst777 Lt BT" w:hAnsi="Humnst777 Lt BT"/>
          <w:sz w:val="24"/>
          <w:szCs w:val="24"/>
        </w:rPr>
        <w:t xml:space="preserve">fall within the department’s own delegations will require Treasury consent. </w:t>
      </w:r>
      <w:r w:rsidR="00593E3F">
        <w:rPr>
          <w:rFonts w:ascii="Humnst777 Lt BT" w:hAnsi="Humnst777 Lt BT"/>
          <w:sz w:val="24"/>
          <w:szCs w:val="24"/>
        </w:rPr>
        <w:t>Therefore, t</w:t>
      </w:r>
      <w:r>
        <w:rPr>
          <w:rFonts w:ascii="Humnst777 Lt BT" w:hAnsi="Humnst777 Lt BT"/>
          <w:sz w:val="24"/>
          <w:szCs w:val="24"/>
        </w:rPr>
        <w:t xml:space="preserve">he </w:t>
      </w:r>
      <w:r>
        <w:rPr>
          <w:rFonts w:ascii="Humnst777 Lt BT" w:hAnsi="Humnst777 Lt BT"/>
          <w:b/>
          <w:bCs/>
          <w:color w:val="2F5496"/>
          <w:sz w:val="24"/>
          <w:szCs w:val="24"/>
        </w:rPr>
        <w:t xml:space="preserve">[Department name] </w:t>
      </w:r>
      <w:r>
        <w:rPr>
          <w:rFonts w:ascii="Humnst777 Lt BT" w:hAnsi="Humnst777 Lt BT"/>
          <w:sz w:val="24"/>
          <w:szCs w:val="24"/>
        </w:rPr>
        <w:t xml:space="preserve">may approve without reference to </w:t>
      </w:r>
      <w:r w:rsidR="00252A23">
        <w:rPr>
          <w:rFonts w:ascii="Humnst777 Lt BT" w:hAnsi="Humnst777 Lt BT"/>
          <w:sz w:val="24"/>
          <w:szCs w:val="24"/>
        </w:rPr>
        <w:t xml:space="preserve">the </w:t>
      </w:r>
      <w:r>
        <w:rPr>
          <w:rFonts w:ascii="Humnst777 Lt BT" w:hAnsi="Humnst777 Lt BT"/>
          <w:sz w:val="24"/>
          <w:szCs w:val="24"/>
        </w:rPr>
        <w:t xml:space="preserve">Treasury any expenditure proposal from the body which falls outside the body’s own delegated authority provided it does not fall outside the </w:t>
      </w:r>
      <w:r>
        <w:rPr>
          <w:rFonts w:ascii="Humnst777 Lt BT" w:hAnsi="Humnst777 Lt BT"/>
          <w:b/>
          <w:bCs/>
          <w:color w:val="2F5496"/>
          <w:sz w:val="24"/>
          <w:szCs w:val="24"/>
        </w:rPr>
        <w:t xml:space="preserve">[Department name]’s </w:t>
      </w:r>
      <w:r>
        <w:rPr>
          <w:rFonts w:ascii="Humnst777 Lt BT" w:hAnsi="Humnst777 Lt BT"/>
          <w:sz w:val="24"/>
          <w:szCs w:val="24"/>
        </w:rPr>
        <w:t xml:space="preserve">own delegated authority. </w:t>
      </w:r>
      <w:r w:rsidR="00252A23">
        <w:rPr>
          <w:rFonts w:ascii="Humnst777 Lt BT" w:hAnsi="Humnst777 Lt BT"/>
          <w:sz w:val="24"/>
          <w:szCs w:val="24"/>
        </w:rPr>
        <w:t xml:space="preserve">The </w:t>
      </w:r>
      <w:r>
        <w:rPr>
          <w:rFonts w:ascii="Humnst777 Lt BT" w:hAnsi="Humnst777 Lt BT"/>
          <w:sz w:val="24"/>
          <w:szCs w:val="24"/>
        </w:rPr>
        <w:t xml:space="preserve">Treasury reserves the right to satisfy itself about the adequacy and scope of the </w:t>
      </w:r>
      <w:r>
        <w:rPr>
          <w:rFonts w:ascii="Humnst777 Lt BT" w:hAnsi="Humnst777 Lt BT"/>
          <w:b/>
          <w:bCs/>
          <w:color w:val="2F5496"/>
          <w:sz w:val="24"/>
          <w:szCs w:val="24"/>
        </w:rPr>
        <w:t xml:space="preserve">[Department name]’s </w:t>
      </w:r>
      <w:r>
        <w:rPr>
          <w:rFonts w:ascii="Humnst777 Lt BT" w:hAnsi="Humnst777 Lt BT"/>
          <w:sz w:val="24"/>
          <w:szCs w:val="24"/>
        </w:rPr>
        <w:t>internal financial control arrangements for handling expenditure within these delegated authorities.</w:t>
      </w:r>
    </w:p>
    <w:p w14:paraId="18160FC0" w14:textId="77777777" w:rsidR="00233F7D" w:rsidRDefault="00233F7D" w:rsidP="00233F7D">
      <w:pPr>
        <w:pStyle w:val="ListParagraph"/>
        <w:spacing w:after="0"/>
        <w:ind w:left="0"/>
        <w:jc w:val="both"/>
        <w:rPr>
          <w:rFonts w:ascii="Humnst777 Lt BT" w:hAnsi="Humnst777 Lt BT"/>
          <w:sz w:val="24"/>
          <w:szCs w:val="24"/>
        </w:rPr>
      </w:pPr>
    </w:p>
    <w:p w14:paraId="2166EB7B" w14:textId="77777777" w:rsidR="00233F7D" w:rsidRDefault="00233F7D" w:rsidP="00233F7D">
      <w:pPr>
        <w:pStyle w:val="Heading1"/>
        <w:spacing w:before="0"/>
        <w:rPr>
          <w:rFonts w:ascii="Humnst777 Lt BT" w:hAnsi="Humnst777 Lt BT"/>
          <w:sz w:val="24"/>
          <w:szCs w:val="24"/>
        </w:rPr>
      </w:pPr>
      <w:r>
        <w:rPr>
          <w:rFonts w:ascii="Humnst777 Lt BT" w:hAnsi="Humnst777 Lt BT"/>
          <w:sz w:val="24"/>
          <w:szCs w:val="24"/>
        </w:rPr>
        <w:t>Sharing information with HM Treasury</w:t>
      </w:r>
    </w:p>
    <w:p w14:paraId="0464800A" w14:textId="7A360D5A" w:rsidR="00233F7D" w:rsidRDefault="00233F7D" w:rsidP="00233F7D">
      <w:pPr>
        <w:pStyle w:val="ListParagraph"/>
        <w:spacing w:after="0"/>
        <w:ind w:left="0"/>
        <w:jc w:val="both"/>
        <w:rPr>
          <w:rFonts w:ascii="Humnst777 Lt BT" w:eastAsiaTheme="minorHAnsi" w:hAnsi="Humnst777 Lt BT"/>
          <w:sz w:val="24"/>
          <w:szCs w:val="24"/>
        </w:rPr>
      </w:pPr>
      <w:r w:rsidRPr="00233F7D">
        <w:rPr>
          <w:rFonts w:ascii="Humnst777 Lt BT" w:eastAsiaTheme="minorHAnsi" w:hAnsi="Humnst777 Lt BT"/>
          <w:sz w:val="24"/>
          <w:szCs w:val="24"/>
        </w:rPr>
        <w:t xml:space="preserve">To support the effective monitoring of spend, and to inform decision making, departments must provide HM Treasury with robust spending and forecasting information, </w:t>
      </w:r>
      <w:r w:rsidR="0061300E">
        <w:rPr>
          <w:rFonts w:ascii="Humnst777 Lt BT" w:eastAsiaTheme="minorHAnsi" w:hAnsi="Humnst777 Lt BT"/>
          <w:sz w:val="24"/>
          <w:szCs w:val="24"/>
        </w:rPr>
        <w:t xml:space="preserve">including for Arms-Length Bodies, </w:t>
      </w:r>
      <w:r w:rsidRPr="00233F7D">
        <w:rPr>
          <w:rFonts w:ascii="Humnst777 Lt BT" w:eastAsiaTheme="minorHAnsi" w:hAnsi="Humnst777 Lt BT"/>
          <w:sz w:val="24"/>
          <w:szCs w:val="24"/>
        </w:rPr>
        <w:t>and share data to demonstrate whether priority outcomes are being achieved and contribution to key government objectives.</w:t>
      </w:r>
    </w:p>
    <w:p w14:paraId="2A31C8FF" w14:textId="77777777" w:rsidR="000155A2" w:rsidRPr="00E75450" w:rsidRDefault="000155A2" w:rsidP="006E41CF">
      <w:pPr>
        <w:pStyle w:val="ListParagraph"/>
        <w:spacing w:after="0"/>
        <w:ind w:left="0"/>
        <w:jc w:val="both"/>
        <w:rPr>
          <w:b/>
          <w:bCs/>
        </w:rPr>
      </w:pPr>
    </w:p>
    <w:p w14:paraId="52F8A020" w14:textId="77777777" w:rsidR="00AC56B1" w:rsidRDefault="00AC56B1" w:rsidP="00A071ED">
      <w:pPr>
        <w:pStyle w:val="Heading1"/>
        <w:spacing w:before="0"/>
        <w:rPr>
          <w:rFonts w:ascii="Humnst777 Lt BT" w:hAnsi="Humnst777 Lt BT"/>
          <w:sz w:val="24"/>
          <w:szCs w:val="24"/>
        </w:rPr>
      </w:pPr>
      <w:r w:rsidRPr="00AC56B1">
        <w:rPr>
          <w:rFonts w:ascii="Humnst777 Lt BT" w:hAnsi="Humnst777 Lt BT"/>
          <w:sz w:val="24"/>
          <w:szCs w:val="24"/>
        </w:rPr>
        <w:t>Review of delegated authorities</w:t>
      </w:r>
    </w:p>
    <w:p w14:paraId="381BD8B7" w14:textId="7AF352EF" w:rsidR="00F05456" w:rsidRDefault="00B81A3C" w:rsidP="006E41CF">
      <w:pPr>
        <w:spacing w:after="0"/>
        <w:jc w:val="both"/>
        <w:rPr>
          <w:rFonts w:ascii="Humnst777 Lt BT" w:hAnsi="Humnst777 Lt BT"/>
          <w:sz w:val="24"/>
        </w:rPr>
      </w:pPr>
      <w:r>
        <w:rPr>
          <w:rFonts w:ascii="Humnst777 Lt BT" w:hAnsi="Humnst777 Lt BT"/>
          <w:sz w:val="24"/>
        </w:rPr>
        <w:t xml:space="preserve">The </w:t>
      </w:r>
      <w:r>
        <w:rPr>
          <w:rFonts w:ascii="Humnst777 Lt BT" w:hAnsi="Humnst777 Lt BT"/>
          <w:b/>
          <w:color w:val="2E74B5" w:themeColor="accent1" w:themeShade="BF"/>
          <w:sz w:val="24"/>
          <w:szCs w:val="24"/>
        </w:rPr>
        <w:t>[D</w:t>
      </w:r>
      <w:r w:rsidR="00CD06C8" w:rsidRPr="00A1513E">
        <w:rPr>
          <w:rFonts w:ascii="Humnst777 Lt BT" w:hAnsi="Humnst777 Lt BT"/>
          <w:b/>
          <w:color w:val="2E74B5" w:themeColor="accent1" w:themeShade="BF"/>
          <w:sz w:val="24"/>
          <w:szCs w:val="24"/>
        </w:rPr>
        <w:t>epartment name]</w:t>
      </w:r>
      <w:r w:rsidR="00CD06C8">
        <w:rPr>
          <w:rFonts w:ascii="Humnst777 Lt BT" w:hAnsi="Humnst777 Lt BT"/>
          <w:b/>
          <w:color w:val="2E74B5" w:themeColor="accent1" w:themeShade="BF"/>
          <w:sz w:val="24"/>
          <w:szCs w:val="24"/>
        </w:rPr>
        <w:t xml:space="preserve">’s </w:t>
      </w:r>
      <w:r w:rsidR="00D16D7B">
        <w:rPr>
          <w:rFonts w:ascii="Humnst777 Lt BT" w:hAnsi="Humnst777 Lt BT"/>
          <w:sz w:val="24"/>
        </w:rPr>
        <w:t>delegated authorities</w:t>
      </w:r>
      <w:r>
        <w:rPr>
          <w:rFonts w:ascii="Humnst777 Lt BT" w:hAnsi="Humnst777 Lt BT"/>
          <w:sz w:val="24"/>
        </w:rPr>
        <w:t xml:space="preserve"> will be reviewed by </w:t>
      </w:r>
      <w:r w:rsidR="00252A23">
        <w:rPr>
          <w:rFonts w:ascii="Humnst777 Lt BT" w:hAnsi="Humnst777 Lt BT"/>
          <w:sz w:val="24"/>
        </w:rPr>
        <w:t xml:space="preserve">the </w:t>
      </w:r>
      <w:r>
        <w:rPr>
          <w:rFonts w:ascii="Humnst777 Lt BT" w:hAnsi="Humnst777 Lt BT"/>
          <w:sz w:val="24"/>
        </w:rPr>
        <w:t>Treasury on an annual basis</w:t>
      </w:r>
      <w:r w:rsidR="00AA0608">
        <w:rPr>
          <w:rFonts w:ascii="Humnst777 Lt BT" w:hAnsi="Humnst777 Lt BT"/>
          <w:sz w:val="24"/>
        </w:rPr>
        <w:t>.</w:t>
      </w:r>
      <w:r>
        <w:rPr>
          <w:rFonts w:ascii="Humnst777 Lt BT" w:hAnsi="Humnst777 Lt BT"/>
          <w:b/>
          <w:color w:val="2E74B5" w:themeColor="accent1" w:themeShade="BF"/>
          <w:sz w:val="24"/>
          <w:szCs w:val="24"/>
        </w:rPr>
        <w:t xml:space="preserve"> </w:t>
      </w:r>
      <w:r>
        <w:rPr>
          <w:rFonts w:ascii="Humnst777 Lt BT" w:hAnsi="Humnst777 Lt BT"/>
          <w:sz w:val="24"/>
        </w:rPr>
        <w:t>Not</w:t>
      </w:r>
      <w:r w:rsidR="00AC56B1" w:rsidRPr="00AC56B1">
        <w:rPr>
          <w:rFonts w:ascii="Humnst777 Lt BT" w:hAnsi="Humnst777 Lt BT"/>
          <w:sz w:val="24"/>
        </w:rPr>
        <w:t xml:space="preserve">withstanding these regular reviews, </w:t>
      </w:r>
      <w:r w:rsidR="00252A23">
        <w:rPr>
          <w:rFonts w:ascii="Humnst777 Lt BT" w:hAnsi="Humnst777 Lt BT"/>
          <w:sz w:val="24"/>
        </w:rPr>
        <w:t>the</w:t>
      </w:r>
      <w:r w:rsidR="00252A23" w:rsidRPr="00AC56B1">
        <w:rPr>
          <w:rFonts w:ascii="Humnst777 Lt BT" w:hAnsi="Humnst777 Lt BT"/>
          <w:sz w:val="24"/>
        </w:rPr>
        <w:t xml:space="preserve"> </w:t>
      </w:r>
      <w:r w:rsidR="00AC56B1" w:rsidRPr="00AC56B1">
        <w:rPr>
          <w:rFonts w:ascii="Humnst777 Lt BT" w:hAnsi="Humnst777 Lt BT"/>
          <w:sz w:val="24"/>
        </w:rPr>
        <w:t>Treasury reserves the right to withdraw, reduce</w:t>
      </w:r>
      <w:r w:rsidR="0056306E">
        <w:rPr>
          <w:rFonts w:ascii="Humnst777 Lt BT" w:hAnsi="Humnst777 Lt BT"/>
          <w:sz w:val="24"/>
        </w:rPr>
        <w:t>,</w:t>
      </w:r>
      <w:r w:rsidR="00AC56B1" w:rsidRPr="00AC56B1">
        <w:rPr>
          <w:rFonts w:ascii="Humnst777 Lt BT" w:hAnsi="Humnst777 Lt BT"/>
          <w:sz w:val="24"/>
        </w:rPr>
        <w:t xml:space="preserve"> or amend these delegated authorities. Before doing this, </w:t>
      </w:r>
      <w:r w:rsidR="00C12CDD">
        <w:rPr>
          <w:rFonts w:ascii="Humnst777 Lt BT" w:hAnsi="Humnst777 Lt BT"/>
          <w:sz w:val="24"/>
        </w:rPr>
        <w:t>the</w:t>
      </w:r>
      <w:r w:rsidR="00C12CDD" w:rsidRPr="00AC56B1">
        <w:rPr>
          <w:rFonts w:ascii="Humnst777 Lt BT" w:hAnsi="Humnst777 Lt BT"/>
          <w:sz w:val="24"/>
        </w:rPr>
        <w:t xml:space="preserve"> </w:t>
      </w:r>
      <w:r w:rsidR="00AC56B1" w:rsidRPr="00AC56B1">
        <w:rPr>
          <w:rFonts w:ascii="Humnst777 Lt BT" w:hAnsi="Humnst777 Lt BT"/>
          <w:sz w:val="24"/>
        </w:rPr>
        <w:t xml:space="preserve">Treasury will set out its reasons for making the changes and give </w:t>
      </w:r>
      <w:r w:rsidR="00AC56B1">
        <w:rPr>
          <w:rFonts w:ascii="Humnst777 Lt BT" w:hAnsi="Humnst777 Lt BT"/>
          <w:sz w:val="24"/>
        </w:rPr>
        <w:t xml:space="preserve">the </w:t>
      </w:r>
      <w:r w:rsidR="00CD06C8" w:rsidRPr="00A1513E">
        <w:rPr>
          <w:rFonts w:ascii="Humnst777 Lt BT" w:hAnsi="Humnst777 Lt BT"/>
          <w:b/>
          <w:color w:val="2E74B5" w:themeColor="accent1" w:themeShade="BF"/>
          <w:sz w:val="24"/>
          <w:szCs w:val="24"/>
        </w:rPr>
        <w:t>[Department name]</w:t>
      </w:r>
      <w:r w:rsidR="00CD06C8">
        <w:rPr>
          <w:rFonts w:ascii="Humnst777 Lt BT" w:hAnsi="Humnst777 Lt BT"/>
          <w:b/>
          <w:color w:val="2E74B5" w:themeColor="accent1" w:themeShade="BF"/>
          <w:sz w:val="24"/>
          <w:szCs w:val="24"/>
        </w:rPr>
        <w:t xml:space="preserve"> </w:t>
      </w:r>
      <w:r w:rsidR="00AC56B1" w:rsidRPr="00AC56B1">
        <w:rPr>
          <w:rFonts w:ascii="Humnst777 Lt BT" w:hAnsi="Humnst777 Lt BT"/>
          <w:sz w:val="24"/>
        </w:rPr>
        <w:t xml:space="preserve">the opportunity to comment. </w:t>
      </w:r>
    </w:p>
    <w:p w14:paraId="6A6EA8DE" w14:textId="77777777" w:rsidR="00FB4F8C" w:rsidRDefault="00FB4F8C" w:rsidP="006E41CF">
      <w:pPr>
        <w:spacing w:after="0"/>
        <w:jc w:val="both"/>
        <w:rPr>
          <w:rFonts w:ascii="Humnst777 Lt BT" w:hAnsi="Humnst777 Lt BT"/>
          <w:sz w:val="24"/>
        </w:rPr>
      </w:pPr>
    </w:p>
    <w:p w14:paraId="07E69451" w14:textId="058CC4A7" w:rsidR="00CA546D" w:rsidRDefault="00CA546D" w:rsidP="00CA546D">
      <w:pPr>
        <w:pStyle w:val="Heading1"/>
        <w:spacing w:before="0"/>
        <w:rPr>
          <w:rFonts w:ascii="Humnst777 Lt BT" w:hAnsi="Humnst777 Lt BT"/>
          <w:sz w:val="24"/>
          <w:szCs w:val="24"/>
        </w:rPr>
      </w:pPr>
      <w:r>
        <w:rPr>
          <w:rFonts w:ascii="Humnst777 Lt BT" w:hAnsi="Humnst777 Lt BT"/>
          <w:sz w:val="24"/>
          <w:szCs w:val="24"/>
        </w:rPr>
        <w:t>Change of Circumstances</w:t>
      </w:r>
    </w:p>
    <w:p w14:paraId="0460F890" w14:textId="32514E47" w:rsidR="00CA546D" w:rsidRDefault="00CA546D" w:rsidP="00CA546D">
      <w:pPr>
        <w:rPr>
          <w:rFonts w:ascii="Humnst777 Lt BT" w:hAnsi="Humnst777 Lt BT"/>
          <w:sz w:val="24"/>
        </w:rPr>
      </w:pPr>
      <w:r>
        <w:rPr>
          <w:rFonts w:ascii="Humnst777 Lt BT" w:hAnsi="Humnst777 Lt BT"/>
          <w:sz w:val="24"/>
        </w:rPr>
        <w:t xml:space="preserve">For the avoidance of doubt, where there are material changes to the </w:t>
      </w:r>
      <w:r w:rsidR="001A3A40">
        <w:rPr>
          <w:rFonts w:ascii="Humnst777 Lt BT" w:hAnsi="Humnst777 Lt BT"/>
          <w:sz w:val="24"/>
        </w:rPr>
        <w:t xml:space="preserve">key </w:t>
      </w:r>
      <w:r w:rsidR="001A3A40" w:rsidRPr="001A3A40">
        <w:rPr>
          <w:rFonts w:ascii="Humnst777 Lt BT" w:hAnsi="Humnst777 Lt BT"/>
          <w:sz w:val="24"/>
        </w:rPr>
        <w:t>metrics (e.g. cost</w:t>
      </w:r>
      <w:r w:rsidR="001A3A40">
        <w:rPr>
          <w:rFonts w:ascii="Humnst777 Lt BT" w:hAnsi="Humnst777 Lt BT"/>
          <w:sz w:val="24"/>
        </w:rPr>
        <w:t xml:space="preserve"> base</w:t>
      </w:r>
      <w:r w:rsidR="001A3A40" w:rsidRPr="001A3A40">
        <w:rPr>
          <w:rFonts w:ascii="Humnst777 Lt BT" w:hAnsi="Humnst777 Lt BT"/>
          <w:sz w:val="24"/>
        </w:rPr>
        <w:t xml:space="preserve">, </w:t>
      </w:r>
      <w:r w:rsidR="001A3A40">
        <w:rPr>
          <w:rFonts w:ascii="Humnst777 Lt BT" w:hAnsi="Humnst777 Lt BT"/>
          <w:sz w:val="24"/>
        </w:rPr>
        <w:t xml:space="preserve">forecast </w:t>
      </w:r>
      <w:r w:rsidR="001A3A40" w:rsidRPr="001A3A40">
        <w:rPr>
          <w:rFonts w:ascii="Humnst777 Lt BT" w:hAnsi="Humnst777 Lt BT"/>
          <w:sz w:val="24"/>
        </w:rPr>
        <w:t xml:space="preserve">benefits, delivery schedule) </w:t>
      </w:r>
      <w:r>
        <w:rPr>
          <w:rFonts w:ascii="Humnst777 Lt BT" w:hAnsi="Humnst777 Lt BT"/>
          <w:sz w:val="24"/>
        </w:rPr>
        <w:t>of a programme</w:t>
      </w:r>
      <w:r w:rsidR="00233F58">
        <w:rPr>
          <w:rFonts w:ascii="Humnst777 Lt BT" w:hAnsi="Humnst777 Lt BT"/>
          <w:sz w:val="24"/>
        </w:rPr>
        <w:t xml:space="preserve">, </w:t>
      </w:r>
      <w:r w:rsidR="00233F58">
        <w:rPr>
          <w:rFonts w:ascii="Humnst777 Lt BT" w:hAnsi="Humnst777 Lt BT"/>
          <w:b/>
          <w:color w:val="2E74B5" w:themeColor="accent1" w:themeShade="BF"/>
          <w:sz w:val="24"/>
          <w:szCs w:val="24"/>
        </w:rPr>
        <w:t>[D</w:t>
      </w:r>
      <w:r w:rsidR="00233F58" w:rsidRPr="00A1513E">
        <w:rPr>
          <w:rFonts w:ascii="Humnst777 Lt BT" w:hAnsi="Humnst777 Lt BT"/>
          <w:b/>
          <w:color w:val="2E74B5" w:themeColor="accent1" w:themeShade="BF"/>
          <w:sz w:val="24"/>
          <w:szCs w:val="24"/>
        </w:rPr>
        <w:t>epartment name]</w:t>
      </w:r>
      <w:r>
        <w:rPr>
          <w:rFonts w:ascii="Humnst777 Lt BT" w:hAnsi="Humnst777 Lt BT"/>
          <w:sz w:val="24"/>
        </w:rPr>
        <w:t xml:space="preserve"> </w:t>
      </w:r>
      <w:r w:rsidR="0078680A">
        <w:rPr>
          <w:rFonts w:ascii="Humnst777 Lt BT" w:hAnsi="Humnst777 Lt BT"/>
          <w:sz w:val="24"/>
        </w:rPr>
        <w:t xml:space="preserve">should </w:t>
      </w:r>
      <w:r>
        <w:rPr>
          <w:rFonts w:ascii="Humnst777 Lt BT" w:hAnsi="Humnst777 Lt BT"/>
          <w:sz w:val="24"/>
        </w:rPr>
        <w:t xml:space="preserve">consult </w:t>
      </w:r>
      <w:r w:rsidR="0078680A">
        <w:rPr>
          <w:rFonts w:ascii="Humnst777 Lt BT" w:hAnsi="Humnst777 Lt BT"/>
          <w:sz w:val="24"/>
        </w:rPr>
        <w:t xml:space="preserve">the </w:t>
      </w:r>
      <w:r>
        <w:rPr>
          <w:rFonts w:ascii="Humnst777 Lt BT" w:hAnsi="Humnst777 Lt BT"/>
          <w:sz w:val="24"/>
        </w:rPr>
        <w:t>Treasury</w:t>
      </w:r>
      <w:r w:rsidR="00D01326">
        <w:rPr>
          <w:rFonts w:ascii="Humnst777 Lt BT" w:hAnsi="Humnst777 Lt BT"/>
          <w:sz w:val="24"/>
        </w:rPr>
        <w:t xml:space="preserve"> for </w:t>
      </w:r>
      <w:r w:rsidR="0078680A">
        <w:rPr>
          <w:rFonts w:ascii="Humnst777 Lt BT" w:hAnsi="Humnst777 Lt BT"/>
          <w:sz w:val="24"/>
        </w:rPr>
        <w:t xml:space="preserve">its </w:t>
      </w:r>
      <w:r w:rsidR="00D01326">
        <w:rPr>
          <w:rFonts w:ascii="Humnst777 Lt BT" w:hAnsi="Humnst777 Lt BT"/>
          <w:sz w:val="24"/>
        </w:rPr>
        <w:t xml:space="preserve">view on whether the considerations that led to approval should be revisited, and if fresh consent for the continuation of funding should be sought. Failure to do so may lead the NAO to regard </w:t>
      </w:r>
      <w:r w:rsidR="006F5CE3">
        <w:rPr>
          <w:rFonts w:ascii="Humnst777 Lt BT" w:hAnsi="Humnst777 Lt BT"/>
          <w:sz w:val="24"/>
        </w:rPr>
        <w:t xml:space="preserve">spending following the identification of the material change of circumstances, benefits, or costs as irregular. </w:t>
      </w:r>
    </w:p>
    <w:p w14:paraId="2546B1F6" w14:textId="77777777" w:rsidR="00FB4F8C" w:rsidRDefault="00FB4F8C" w:rsidP="00FB4F8C">
      <w:pPr>
        <w:pStyle w:val="Heading1"/>
        <w:spacing w:before="0"/>
        <w:rPr>
          <w:rFonts w:ascii="Humnst777 Lt BT" w:hAnsi="Humnst777 Lt BT"/>
          <w:sz w:val="24"/>
          <w:szCs w:val="24"/>
        </w:rPr>
      </w:pPr>
      <w:r>
        <w:rPr>
          <w:rFonts w:ascii="Humnst777 Lt BT" w:hAnsi="Humnst777 Lt BT"/>
          <w:sz w:val="24"/>
          <w:szCs w:val="24"/>
        </w:rPr>
        <w:t>Change control procedure</w:t>
      </w:r>
    </w:p>
    <w:p w14:paraId="2425FFB6" w14:textId="3AFCD5AF" w:rsidR="00FB4F8C" w:rsidRDefault="00FB4F8C" w:rsidP="00FB4F8C">
      <w:pPr>
        <w:spacing w:after="0"/>
        <w:jc w:val="both"/>
        <w:rPr>
          <w:rFonts w:ascii="Humnst777 Lt BT" w:hAnsi="Humnst777 Lt BT"/>
          <w:sz w:val="24"/>
        </w:rPr>
      </w:pPr>
      <w:r w:rsidRPr="008079B7">
        <w:rPr>
          <w:rFonts w:ascii="Humnst777 Lt BT" w:hAnsi="Humnst777 Lt BT"/>
          <w:sz w:val="24"/>
        </w:rPr>
        <w:t xml:space="preserve">Where the </w:t>
      </w:r>
      <w:r w:rsidRPr="008079B7">
        <w:rPr>
          <w:rFonts w:ascii="Humnst777 Lt BT" w:hAnsi="Humnst777 Lt BT"/>
          <w:b/>
          <w:color w:val="2E74B5" w:themeColor="accent1" w:themeShade="BF"/>
          <w:sz w:val="24"/>
          <w:szCs w:val="24"/>
        </w:rPr>
        <w:t xml:space="preserve">[Department name]’s </w:t>
      </w:r>
      <w:r w:rsidRPr="008079B7">
        <w:rPr>
          <w:rFonts w:ascii="Humnst777 Lt BT" w:hAnsi="Humnst777 Lt BT"/>
          <w:sz w:val="24"/>
        </w:rPr>
        <w:t xml:space="preserve">delegated authorities are amended a fresh delegation letter must be issued immediately to record this change. If a new delegation letter is not issued within 14 days of the </w:t>
      </w:r>
      <w:proofErr w:type="gramStart"/>
      <w:r w:rsidRPr="008079B7">
        <w:rPr>
          <w:rFonts w:ascii="Humnst777 Lt BT" w:hAnsi="Humnst777 Lt BT"/>
          <w:sz w:val="24"/>
        </w:rPr>
        <w:t>change</w:t>
      </w:r>
      <w:proofErr w:type="gramEnd"/>
      <w:r w:rsidRPr="008079B7">
        <w:rPr>
          <w:rFonts w:ascii="Humnst777 Lt BT" w:hAnsi="Humnst777 Lt BT"/>
          <w:sz w:val="24"/>
        </w:rPr>
        <w:t xml:space="preserve"> </w:t>
      </w:r>
      <w:r w:rsidR="008D3DFE" w:rsidRPr="008079B7">
        <w:rPr>
          <w:rFonts w:ascii="Humnst777 Lt BT" w:hAnsi="Humnst777 Lt BT"/>
          <w:sz w:val="24"/>
        </w:rPr>
        <w:t>then it will lapse, and</w:t>
      </w:r>
      <w:r w:rsidR="00BE36DF" w:rsidRPr="008079B7">
        <w:rPr>
          <w:rFonts w:ascii="Humnst777 Lt BT" w:hAnsi="Humnst777 Lt BT"/>
          <w:sz w:val="24"/>
        </w:rPr>
        <w:t xml:space="preserve"> the </w:t>
      </w:r>
      <w:r w:rsidR="00BE36DF" w:rsidRPr="008079B7">
        <w:rPr>
          <w:rFonts w:ascii="Humnst777 Lt BT" w:hAnsi="Humnst777 Lt BT"/>
          <w:b/>
          <w:color w:val="2E74B5" w:themeColor="accent1" w:themeShade="BF"/>
          <w:sz w:val="24"/>
          <w:szCs w:val="24"/>
        </w:rPr>
        <w:t>[Department name]’s</w:t>
      </w:r>
      <w:r w:rsidR="008D3DFE" w:rsidRPr="008079B7">
        <w:rPr>
          <w:rFonts w:ascii="Humnst777 Lt BT" w:hAnsi="Humnst777 Lt BT"/>
          <w:sz w:val="24"/>
        </w:rPr>
        <w:t xml:space="preserve"> </w:t>
      </w:r>
      <w:r w:rsidR="00BE36DF" w:rsidRPr="008079B7">
        <w:rPr>
          <w:rFonts w:ascii="Humnst777 Lt BT" w:hAnsi="Humnst777 Lt BT"/>
          <w:sz w:val="24"/>
        </w:rPr>
        <w:t xml:space="preserve">delegation limits will be as in the </w:t>
      </w:r>
      <w:r w:rsidR="008079B7" w:rsidRPr="008079B7">
        <w:rPr>
          <w:rFonts w:ascii="Humnst777 Lt BT" w:hAnsi="Humnst777 Lt BT"/>
          <w:sz w:val="24"/>
        </w:rPr>
        <w:t>unamended letter</w:t>
      </w:r>
      <w:r w:rsidRPr="008079B7">
        <w:rPr>
          <w:rFonts w:ascii="Humnst777 Lt BT" w:hAnsi="Humnst777 Lt BT"/>
          <w:sz w:val="24"/>
        </w:rPr>
        <w:t>.</w:t>
      </w:r>
      <w:r>
        <w:rPr>
          <w:rFonts w:ascii="Humnst777 Lt BT" w:hAnsi="Humnst777 Lt BT"/>
          <w:sz w:val="24"/>
        </w:rPr>
        <w:t xml:space="preserve"> </w:t>
      </w:r>
    </w:p>
    <w:p w14:paraId="7434B668" w14:textId="77777777" w:rsidR="00FB4F8C" w:rsidRPr="00CA546D" w:rsidRDefault="00FB4F8C" w:rsidP="00CA546D"/>
    <w:p w14:paraId="59D45415" w14:textId="0D78C0AC" w:rsidR="003732F3" w:rsidRPr="007B2685" w:rsidRDefault="003732F3" w:rsidP="001A450C">
      <w:pPr>
        <w:spacing w:after="0"/>
        <w:jc w:val="both"/>
        <w:rPr>
          <w:rFonts w:ascii="Humnst777 Lt BT" w:hAnsi="Humnst777 Lt BT"/>
          <w:b/>
          <w:sz w:val="24"/>
          <w:szCs w:val="24"/>
        </w:rPr>
      </w:pPr>
    </w:p>
    <w:p w14:paraId="52AAB2EF" w14:textId="77777777" w:rsidR="005D548B" w:rsidRDefault="005D548B">
      <w:pPr>
        <w:spacing w:after="160" w:line="259" w:lineRule="auto"/>
        <w:rPr>
          <w:rFonts w:ascii="Humnst777 Lt BT" w:eastAsiaTheme="majorEastAsia" w:hAnsi="Humnst777 Lt BT" w:cstheme="majorBidi"/>
          <w:b/>
          <w:bCs/>
          <w:color w:val="2E74B5" w:themeColor="accent1" w:themeShade="BF"/>
          <w:sz w:val="24"/>
          <w:szCs w:val="24"/>
        </w:rPr>
      </w:pPr>
      <w:r>
        <w:rPr>
          <w:rFonts w:ascii="Humnst777 Lt BT" w:hAnsi="Humnst777 Lt BT"/>
          <w:sz w:val="24"/>
          <w:szCs w:val="24"/>
        </w:rPr>
        <w:br w:type="page"/>
      </w:r>
    </w:p>
    <w:p w14:paraId="41AA9560" w14:textId="3221B85E" w:rsidR="003732F3" w:rsidRPr="007B2685" w:rsidRDefault="003732F3" w:rsidP="006E41CF">
      <w:pPr>
        <w:pStyle w:val="Heading1"/>
        <w:spacing w:before="0"/>
        <w:rPr>
          <w:rFonts w:ascii="Humnst777 Lt BT" w:hAnsi="Humnst777 Lt BT"/>
          <w:sz w:val="24"/>
          <w:szCs w:val="24"/>
        </w:rPr>
      </w:pPr>
      <w:r w:rsidRPr="007B2685">
        <w:rPr>
          <w:rFonts w:ascii="Humnst777 Lt BT" w:hAnsi="Humnst777 Lt BT"/>
          <w:sz w:val="24"/>
          <w:szCs w:val="24"/>
        </w:rPr>
        <w:lastRenderedPageBreak/>
        <w:t xml:space="preserve">ANNEX A: DETAIL OF </w:t>
      </w:r>
      <w:r w:rsidR="00D5438D" w:rsidRPr="007B2685">
        <w:rPr>
          <w:rFonts w:ascii="Humnst777 Lt BT" w:hAnsi="Humnst777 Lt BT"/>
          <w:sz w:val="24"/>
          <w:szCs w:val="24"/>
        </w:rPr>
        <w:t xml:space="preserve">THE </w:t>
      </w:r>
      <w:r w:rsidR="000155A2">
        <w:rPr>
          <w:rFonts w:ascii="Humnst777 Lt BT" w:hAnsi="Humnst777 Lt BT"/>
          <w:sz w:val="24"/>
          <w:szCs w:val="24"/>
        </w:rPr>
        <w:t>[DEPARTMENT NAME]’S</w:t>
      </w:r>
      <w:r w:rsidR="00D5438D" w:rsidRPr="007B2685">
        <w:rPr>
          <w:rFonts w:ascii="Humnst777 Lt BT" w:hAnsi="Humnst777 Lt BT"/>
          <w:sz w:val="24"/>
          <w:szCs w:val="24"/>
        </w:rPr>
        <w:t xml:space="preserve"> </w:t>
      </w:r>
      <w:r w:rsidRPr="007B2685">
        <w:rPr>
          <w:rFonts w:ascii="Humnst777 Lt BT" w:hAnsi="Humnst777 Lt BT"/>
          <w:sz w:val="24"/>
          <w:szCs w:val="24"/>
        </w:rPr>
        <w:t>DELEGATED AUTHORITIES</w:t>
      </w:r>
    </w:p>
    <w:p w14:paraId="4831655B" w14:textId="77777777" w:rsidR="003732F3" w:rsidRPr="007B2685" w:rsidRDefault="003732F3" w:rsidP="006E41CF">
      <w:pPr>
        <w:spacing w:after="0"/>
        <w:rPr>
          <w:rFonts w:ascii="Humnst777 Lt BT" w:hAnsi="Humnst777 Lt BT"/>
          <w:i/>
          <w:sz w:val="24"/>
          <w:szCs w:val="24"/>
        </w:rPr>
      </w:pPr>
    </w:p>
    <w:p w14:paraId="2A0A39F6" w14:textId="0E5AE33C" w:rsidR="003732F3" w:rsidRPr="007B2685" w:rsidRDefault="004B0DA5" w:rsidP="006E41CF">
      <w:pPr>
        <w:spacing w:after="0"/>
        <w:jc w:val="both"/>
        <w:rPr>
          <w:rFonts w:ascii="Humnst777 Lt BT" w:hAnsi="Humnst777 Lt BT"/>
          <w:sz w:val="24"/>
          <w:szCs w:val="24"/>
        </w:rPr>
      </w:pPr>
      <w:r w:rsidRPr="007B2685">
        <w:rPr>
          <w:rFonts w:ascii="Humnst777 Lt BT" w:hAnsi="Humnst777 Lt BT"/>
          <w:sz w:val="24"/>
          <w:szCs w:val="24"/>
        </w:rPr>
        <w:t xml:space="preserve">The </w:t>
      </w:r>
      <w:r w:rsidR="000155A2" w:rsidRPr="00A1513E">
        <w:rPr>
          <w:rFonts w:ascii="Humnst777 Lt BT" w:hAnsi="Humnst777 Lt BT"/>
          <w:b/>
          <w:color w:val="2E74B5" w:themeColor="accent1" w:themeShade="BF"/>
          <w:sz w:val="24"/>
          <w:szCs w:val="24"/>
        </w:rPr>
        <w:t>[Department name]</w:t>
      </w:r>
      <w:r w:rsidR="000155A2">
        <w:rPr>
          <w:rFonts w:ascii="Humnst777 Lt BT" w:hAnsi="Humnst777 Lt BT"/>
          <w:b/>
          <w:color w:val="2E74B5" w:themeColor="accent1" w:themeShade="BF"/>
          <w:sz w:val="24"/>
          <w:szCs w:val="24"/>
        </w:rPr>
        <w:t xml:space="preserve">’s </w:t>
      </w:r>
      <w:r w:rsidR="003732F3" w:rsidRPr="007B2685">
        <w:rPr>
          <w:rFonts w:ascii="Humnst777 Lt BT" w:hAnsi="Humnst777 Lt BT"/>
          <w:sz w:val="24"/>
          <w:szCs w:val="24"/>
        </w:rPr>
        <w:t xml:space="preserve">delegated authorities are set out below. Notwithstanding these delegations, certain categories of spending proposal override any delegated authority and must be submitted to </w:t>
      </w:r>
      <w:r w:rsidR="0056306E">
        <w:rPr>
          <w:rFonts w:ascii="Humnst777 Lt BT" w:hAnsi="Humnst777 Lt BT"/>
          <w:sz w:val="24"/>
          <w:szCs w:val="24"/>
        </w:rPr>
        <w:t>HM</w:t>
      </w:r>
      <w:r w:rsidR="003732F3" w:rsidRPr="007B2685">
        <w:rPr>
          <w:rFonts w:ascii="Humnst777 Lt BT" w:hAnsi="Humnst777 Lt BT"/>
          <w:sz w:val="24"/>
          <w:szCs w:val="24"/>
        </w:rPr>
        <w:t xml:space="preserve"> Treasury. These are proposals which:</w:t>
      </w:r>
    </w:p>
    <w:p w14:paraId="655E6D67" w14:textId="77777777" w:rsidR="003732F3" w:rsidRPr="007B2685" w:rsidRDefault="003732F3" w:rsidP="006E41CF">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 xml:space="preserve">could create pressures leading to a breach in Departmental Expenditure Limits, administration costs limits, or Estimates </w:t>
      </w:r>
      <w:proofErr w:type="gramStart"/>
      <w:r w:rsidRPr="007B2685">
        <w:rPr>
          <w:rFonts w:ascii="Humnst777 Lt BT" w:hAnsi="Humnst777 Lt BT"/>
          <w:sz w:val="24"/>
          <w:szCs w:val="24"/>
        </w:rPr>
        <w:t>provision;</w:t>
      </w:r>
      <w:proofErr w:type="gramEnd"/>
    </w:p>
    <w:p w14:paraId="7297FCDB" w14:textId="77777777" w:rsidR="003732F3" w:rsidRPr="007B2685" w:rsidRDefault="003732F3" w:rsidP="006E41CF">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 xml:space="preserve">would entail contractual commitments to significant levels of spending in future years for which plans have not been </w:t>
      </w:r>
      <w:proofErr w:type="gramStart"/>
      <w:r w:rsidRPr="007B2685">
        <w:rPr>
          <w:rFonts w:ascii="Humnst777 Lt BT" w:hAnsi="Humnst777 Lt BT"/>
          <w:sz w:val="24"/>
          <w:szCs w:val="24"/>
        </w:rPr>
        <w:t>set;</w:t>
      </w:r>
      <w:proofErr w:type="gramEnd"/>
    </w:p>
    <w:p w14:paraId="4BCC41BD" w14:textId="77777777" w:rsidR="003732F3" w:rsidRPr="007B2685" w:rsidRDefault="003732F3" w:rsidP="006E41CF">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 xml:space="preserve">could set a potentially expensive </w:t>
      </w:r>
      <w:proofErr w:type="gramStart"/>
      <w:r w:rsidRPr="007B2685">
        <w:rPr>
          <w:rFonts w:ascii="Humnst777 Lt BT" w:hAnsi="Humnst777 Lt BT"/>
          <w:sz w:val="24"/>
          <w:szCs w:val="24"/>
        </w:rPr>
        <w:t>precedent;</w:t>
      </w:r>
      <w:proofErr w:type="gramEnd"/>
    </w:p>
    <w:p w14:paraId="7602C3F4" w14:textId="77777777" w:rsidR="003732F3" w:rsidRPr="007B2685" w:rsidRDefault="003732F3" w:rsidP="006E41CF">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 xml:space="preserve">could cause significant repercussions for </w:t>
      </w:r>
      <w:proofErr w:type="gramStart"/>
      <w:r w:rsidRPr="007B2685">
        <w:rPr>
          <w:rFonts w:ascii="Humnst777 Lt BT" w:hAnsi="Humnst777 Lt BT"/>
          <w:sz w:val="24"/>
          <w:szCs w:val="24"/>
        </w:rPr>
        <w:t>others;</w:t>
      </w:r>
      <w:proofErr w:type="gramEnd"/>
    </w:p>
    <w:p w14:paraId="63244EBD" w14:textId="77777777" w:rsidR="003732F3" w:rsidRPr="007B2685" w:rsidRDefault="003732F3" w:rsidP="006E41CF">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 xml:space="preserve">require primary </w:t>
      </w:r>
      <w:proofErr w:type="gramStart"/>
      <w:r w:rsidRPr="007B2685">
        <w:rPr>
          <w:rFonts w:ascii="Humnst777 Lt BT" w:hAnsi="Humnst777 Lt BT"/>
          <w:sz w:val="24"/>
          <w:szCs w:val="24"/>
        </w:rPr>
        <w:t>legislation;</w:t>
      </w:r>
      <w:proofErr w:type="gramEnd"/>
    </w:p>
    <w:p w14:paraId="02EDA678" w14:textId="77777777" w:rsidR="003732F3" w:rsidRPr="007B2685" w:rsidRDefault="003732F3" w:rsidP="006E41CF">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are novel and contentious; or</w:t>
      </w:r>
    </w:p>
    <w:p w14:paraId="7217FC18" w14:textId="1197B43D" w:rsidR="003732F3" w:rsidRDefault="003732F3" w:rsidP="00A071ED">
      <w:pPr>
        <w:pStyle w:val="ListParagraph"/>
        <w:numPr>
          <w:ilvl w:val="0"/>
          <w:numId w:val="1"/>
        </w:numPr>
        <w:spacing w:after="0"/>
        <w:jc w:val="both"/>
        <w:rPr>
          <w:rFonts w:ascii="Humnst777 Lt BT" w:hAnsi="Humnst777 Lt BT"/>
          <w:sz w:val="24"/>
          <w:szCs w:val="24"/>
        </w:rPr>
      </w:pPr>
      <w:r w:rsidRPr="007B2685">
        <w:rPr>
          <w:rFonts w:ascii="Humnst777 Lt BT" w:hAnsi="Humnst777 Lt BT"/>
          <w:sz w:val="24"/>
          <w:szCs w:val="24"/>
        </w:rPr>
        <w:t>where Treasury consent is a statutory requirement.</w:t>
      </w:r>
    </w:p>
    <w:p w14:paraId="1D2F0EE6" w14:textId="77777777" w:rsidR="000155A2" w:rsidRPr="007B2685" w:rsidRDefault="000155A2" w:rsidP="006E41CF">
      <w:pPr>
        <w:pStyle w:val="ListParagraph"/>
        <w:spacing w:after="0"/>
        <w:jc w:val="both"/>
        <w:rPr>
          <w:rFonts w:ascii="Humnst777 Lt BT" w:hAnsi="Humnst777 Lt BT"/>
          <w:sz w:val="24"/>
          <w:szCs w:val="24"/>
        </w:rPr>
      </w:pPr>
    </w:p>
    <w:p w14:paraId="315B406F" w14:textId="77777777" w:rsidR="003732F3" w:rsidRPr="007B2685" w:rsidRDefault="003732F3" w:rsidP="006E41CF">
      <w:pPr>
        <w:spacing w:after="0"/>
        <w:jc w:val="both"/>
        <w:rPr>
          <w:rFonts w:ascii="Humnst777 Lt BT" w:hAnsi="Humnst777 Lt BT"/>
          <w:sz w:val="24"/>
          <w:szCs w:val="24"/>
        </w:rPr>
      </w:pPr>
      <w:r w:rsidRPr="007B2685">
        <w:rPr>
          <w:rFonts w:ascii="Humnst777 Lt BT" w:hAnsi="Humnst777 Lt BT"/>
          <w:sz w:val="24"/>
          <w:szCs w:val="24"/>
        </w:rPr>
        <w:t>In addition:</w:t>
      </w:r>
    </w:p>
    <w:p w14:paraId="14C3A29E" w14:textId="76EF34BE" w:rsidR="003732F3" w:rsidRPr="007B2685" w:rsidRDefault="004B0DA5" w:rsidP="006E41CF">
      <w:pPr>
        <w:pStyle w:val="ListParagraph"/>
        <w:numPr>
          <w:ilvl w:val="0"/>
          <w:numId w:val="2"/>
        </w:numPr>
        <w:spacing w:after="0"/>
        <w:jc w:val="both"/>
        <w:rPr>
          <w:rFonts w:ascii="Humnst777 Lt BT" w:hAnsi="Humnst777 Lt BT"/>
          <w:sz w:val="24"/>
          <w:szCs w:val="24"/>
        </w:rPr>
      </w:pPr>
      <w:r w:rsidRPr="007B2685">
        <w:rPr>
          <w:rFonts w:ascii="Humnst777 Lt BT" w:hAnsi="Humnst777 Lt BT"/>
          <w:sz w:val="24"/>
          <w:szCs w:val="24"/>
        </w:rPr>
        <w:t xml:space="preserve">The </w:t>
      </w:r>
      <w:r w:rsidR="000155A2" w:rsidRPr="00A1513E">
        <w:rPr>
          <w:rFonts w:ascii="Humnst777 Lt BT" w:hAnsi="Humnst777 Lt BT"/>
          <w:b/>
          <w:color w:val="2E74B5" w:themeColor="accent1" w:themeShade="BF"/>
          <w:sz w:val="24"/>
          <w:szCs w:val="24"/>
        </w:rPr>
        <w:t>[Department name]</w:t>
      </w:r>
      <w:r w:rsidR="000155A2">
        <w:rPr>
          <w:rFonts w:ascii="Humnst777 Lt BT" w:hAnsi="Humnst777 Lt BT"/>
          <w:b/>
          <w:color w:val="2E74B5" w:themeColor="accent1" w:themeShade="BF"/>
          <w:sz w:val="24"/>
          <w:szCs w:val="24"/>
        </w:rPr>
        <w:t xml:space="preserve"> </w:t>
      </w:r>
      <w:r w:rsidR="00B81A3C" w:rsidRPr="007B2685">
        <w:rPr>
          <w:rFonts w:ascii="Humnst777 Lt BT" w:hAnsi="Humnst777 Lt BT"/>
          <w:sz w:val="24"/>
          <w:szCs w:val="24"/>
        </w:rPr>
        <w:t xml:space="preserve">will always act </w:t>
      </w:r>
      <w:r w:rsidR="003732F3" w:rsidRPr="007B2685">
        <w:rPr>
          <w:rFonts w:ascii="Humnst777 Lt BT" w:hAnsi="Humnst777 Lt BT"/>
          <w:sz w:val="24"/>
          <w:szCs w:val="24"/>
        </w:rPr>
        <w:t xml:space="preserve">within the rules of </w:t>
      </w:r>
      <w:r w:rsidR="003732F3" w:rsidRPr="0056306E">
        <w:rPr>
          <w:rFonts w:ascii="Humnst777 Lt BT" w:hAnsi="Humnst777 Lt BT"/>
          <w:i/>
          <w:iCs/>
          <w:sz w:val="24"/>
          <w:szCs w:val="24"/>
        </w:rPr>
        <w:t xml:space="preserve">Managing Public </w:t>
      </w:r>
      <w:proofErr w:type="gramStart"/>
      <w:r w:rsidR="003732F3" w:rsidRPr="0056306E">
        <w:rPr>
          <w:rFonts w:ascii="Humnst777 Lt BT" w:hAnsi="Humnst777 Lt BT"/>
          <w:i/>
          <w:iCs/>
          <w:sz w:val="24"/>
          <w:szCs w:val="24"/>
        </w:rPr>
        <w:t>Money</w:t>
      </w:r>
      <w:r w:rsidR="0056306E">
        <w:rPr>
          <w:rFonts w:ascii="Humnst777 Lt BT" w:hAnsi="Humnst777 Lt BT"/>
          <w:sz w:val="24"/>
          <w:szCs w:val="24"/>
        </w:rPr>
        <w:t>;</w:t>
      </w:r>
      <w:proofErr w:type="gramEnd"/>
    </w:p>
    <w:p w14:paraId="30423508" w14:textId="03EA3798" w:rsidR="003732F3" w:rsidRPr="007B2685" w:rsidRDefault="003732F3" w:rsidP="006E41CF">
      <w:pPr>
        <w:pStyle w:val="ListParagraph"/>
        <w:numPr>
          <w:ilvl w:val="0"/>
          <w:numId w:val="2"/>
        </w:numPr>
        <w:spacing w:after="0"/>
        <w:jc w:val="both"/>
        <w:rPr>
          <w:rFonts w:ascii="Humnst777 Lt BT" w:hAnsi="Humnst777 Lt BT"/>
          <w:sz w:val="24"/>
          <w:szCs w:val="24"/>
        </w:rPr>
      </w:pPr>
      <w:r w:rsidRPr="007B2685">
        <w:rPr>
          <w:rFonts w:ascii="Humnst777 Lt BT" w:hAnsi="Humnst777 Lt BT"/>
          <w:sz w:val="24"/>
          <w:szCs w:val="24"/>
        </w:rPr>
        <w:t xml:space="preserve">The department will abide by any specific agreements reached with Treasury Ministers or officials during Spending Review discussions or </w:t>
      </w:r>
      <w:proofErr w:type="gramStart"/>
      <w:r w:rsidRPr="007B2685">
        <w:rPr>
          <w:rFonts w:ascii="Humnst777 Lt BT" w:hAnsi="Humnst777 Lt BT"/>
          <w:sz w:val="24"/>
          <w:szCs w:val="24"/>
        </w:rPr>
        <w:t>otherwise</w:t>
      </w:r>
      <w:r w:rsidR="0056306E">
        <w:rPr>
          <w:rFonts w:ascii="Humnst777 Lt BT" w:hAnsi="Humnst777 Lt BT"/>
          <w:sz w:val="24"/>
          <w:szCs w:val="24"/>
        </w:rPr>
        <w:t>;</w:t>
      </w:r>
      <w:proofErr w:type="gramEnd"/>
    </w:p>
    <w:p w14:paraId="76F93F22" w14:textId="77777777" w:rsidR="003732F3" w:rsidRPr="007B2685" w:rsidRDefault="003732F3" w:rsidP="006E41CF">
      <w:pPr>
        <w:pStyle w:val="ListParagraph"/>
        <w:numPr>
          <w:ilvl w:val="0"/>
          <w:numId w:val="2"/>
        </w:numPr>
        <w:spacing w:after="0"/>
        <w:jc w:val="both"/>
        <w:rPr>
          <w:rFonts w:ascii="Humnst777 Lt BT" w:hAnsi="Humnst777 Lt BT"/>
          <w:sz w:val="24"/>
          <w:szCs w:val="24"/>
        </w:rPr>
      </w:pPr>
      <w:r w:rsidRPr="007B2685">
        <w:rPr>
          <w:rFonts w:ascii="Humnst777 Lt BT" w:hAnsi="Humnst777 Lt BT"/>
          <w:sz w:val="24"/>
          <w:szCs w:val="24"/>
        </w:rPr>
        <w:t>If spending falls under more than one category of delegation, the lower delegated limit applies.</w:t>
      </w:r>
    </w:p>
    <w:p w14:paraId="52F7E347" w14:textId="77777777" w:rsidR="003732F3" w:rsidRPr="007B2685" w:rsidRDefault="003732F3" w:rsidP="006E41CF">
      <w:pPr>
        <w:pStyle w:val="ListParagraph"/>
        <w:spacing w:after="0"/>
        <w:ind w:left="0"/>
        <w:jc w:val="both"/>
        <w:rPr>
          <w:rFonts w:ascii="Humnst777 Lt BT" w:hAnsi="Humnst777 Lt BT"/>
          <w:sz w:val="24"/>
          <w:szCs w:val="24"/>
        </w:rPr>
      </w:pPr>
    </w:p>
    <w:p w14:paraId="0AD6F23D" w14:textId="608524E7" w:rsidR="003732F3" w:rsidRDefault="003732F3" w:rsidP="00A071ED">
      <w:pPr>
        <w:pStyle w:val="ListParagraph"/>
        <w:spacing w:after="0"/>
        <w:ind w:left="0"/>
        <w:jc w:val="both"/>
        <w:rPr>
          <w:rFonts w:ascii="Humnst777 Lt BT" w:hAnsi="Humnst777 Lt BT"/>
          <w:sz w:val="24"/>
          <w:szCs w:val="24"/>
        </w:rPr>
      </w:pPr>
      <w:r w:rsidRPr="007B2685">
        <w:rPr>
          <w:rFonts w:ascii="Humnst777 Lt BT" w:hAnsi="Humnst777 Lt BT"/>
          <w:sz w:val="24"/>
          <w:szCs w:val="24"/>
        </w:rPr>
        <w:t xml:space="preserve">The delegated authorities </w:t>
      </w:r>
      <w:r w:rsidR="00CA6869">
        <w:rPr>
          <w:rFonts w:ascii="Humnst777 Lt BT" w:hAnsi="Humnst777 Lt BT"/>
          <w:sz w:val="24"/>
          <w:szCs w:val="24"/>
        </w:rPr>
        <w:t xml:space="preserve">and Cabinet Office controls </w:t>
      </w:r>
      <w:r w:rsidRPr="007B2685">
        <w:rPr>
          <w:rFonts w:ascii="Humnst777 Lt BT" w:hAnsi="Humnst777 Lt BT"/>
          <w:sz w:val="24"/>
          <w:szCs w:val="24"/>
        </w:rPr>
        <w:t xml:space="preserve">for </w:t>
      </w:r>
      <w:r w:rsidR="004B0DA5" w:rsidRPr="007B2685">
        <w:rPr>
          <w:rFonts w:ascii="Humnst777 Lt BT" w:hAnsi="Humnst777 Lt BT"/>
          <w:sz w:val="24"/>
          <w:szCs w:val="24"/>
        </w:rPr>
        <w:t xml:space="preserve">the </w:t>
      </w:r>
      <w:r w:rsidR="000155A2" w:rsidRPr="00A1513E">
        <w:rPr>
          <w:rFonts w:ascii="Humnst777 Lt BT" w:hAnsi="Humnst777 Lt BT"/>
          <w:b/>
          <w:color w:val="2E74B5" w:themeColor="accent1" w:themeShade="BF"/>
          <w:sz w:val="24"/>
          <w:szCs w:val="24"/>
        </w:rPr>
        <w:t>[Department name]</w:t>
      </w:r>
      <w:r w:rsidR="000155A2">
        <w:rPr>
          <w:rFonts w:ascii="Humnst777 Lt BT" w:hAnsi="Humnst777 Lt BT"/>
          <w:b/>
          <w:color w:val="2E74B5" w:themeColor="accent1" w:themeShade="BF"/>
          <w:sz w:val="24"/>
          <w:szCs w:val="24"/>
        </w:rPr>
        <w:t xml:space="preserve"> </w:t>
      </w:r>
      <w:r w:rsidRPr="007B2685">
        <w:rPr>
          <w:rFonts w:ascii="Humnst777 Lt BT" w:hAnsi="Humnst777 Lt BT"/>
          <w:sz w:val="24"/>
          <w:szCs w:val="24"/>
        </w:rPr>
        <w:t>are set out in the following table</w:t>
      </w:r>
      <w:r w:rsidR="00CA6869">
        <w:rPr>
          <w:rFonts w:ascii="Humnst777 Lt BT" w:hAnsi="Humnst777 Lt BT"/>
          <w:sz w:val="24"/>
          <w:szCs w:val="24"/>
        </w:rPr>
        <w:t xml:space="preserve"> and Annex B</w:t>
      </w:r>
      <w:r w:rsidRPr="007B2685">
        <w:rPr>
          <w:rFonts w:ascii="Humnst777 Lt BT" w:hAnsi="Humnst777 Lt BT"/>
          <w:sz w:val="24"/>
          <w:szCs w:val="24"/>
        </w:rPr>
        <w:t>:</w:t>
      </w:r>
    </w:p>
    <w:p w14:paraId="1FD4AC9A" w14:textId="77777777" w:rsidR="000155A2" w:rsidRDefault="000155A2" w:rsidP="00A071ED">
      <w:pPr>
        <w:spacing w:after="0"/>
        <w:rPr>
          <w:rFonts w:ascii="Humnst777 Lt BT" w:hAnsi="Humnst777 Lt BT"/>
          <w:sz w:val="24"/>
          <w:szCs w:val="24"/>
        </w:rPr>
      </w:pPr>
    </w:p>
    <w:p w14:paraId="3CEE4A77" w14:textId="77777777" w:rsidR="003732F3" w:rsidRPr="007B2685" w:rsidRDefault="003732F3" w:rsidP="006E41CF">
      <w:pPr>
        <w:spacing w:after="0"/>
        <w:rPr>
          <w:rFonts w:ascii="Humnst777 Lt BT" w:hAnsi="Humnst777 Lt BT"/>
          <w:sz w:val="24"/>
          <w:szCs w:val="24"/>
        </w:rPr>
      </w:pPr>
      <w:r w:rsidRPr="007B2685">
        <w:rPr>
          <w:rFonts w:ascii="Humnst777 Lt BT" w:hAnsi="Humnst777 Lt BT"/>
          <w:sz w:val="24"/>
          <w:szCs w:val="24"/>
        </w:rPr>
        <w:t>Notes:</w:t>
      </w:r>
    </w:p>
    <w:p w14:paraId="1CAB8BC1" w14:textId="77777777" w:rsidR="003732F3" w:rsidRPr="007B2685" w:rsidRDefault="003732F3" w:rsidP="006E41CF">
      <w:pPr>
        <w:pStyle w:val="ListParagraph"/>
        <w:numPr>
          <w:ilvl w:val="0"/>
          <w:numId w:val="3"/>
        </w:numPr>
        <w:spacing w:after="0"/>
        <w:jc w:val="both"/>
        <w:rPr>
          <w:rFonts w:ascii="Humnst777 Lt BT" w:hAnsi="Humnst777 Lt BT"/>
          <w:sz w:val="24"/>
          <w:szCs w:val="24"/>
        </w:rPr>
      </w:pPr>
      <w:r w:rsidRPr="007B2685">
        <w:rPr>
          <w:rFonts w:ascii="Humnst777 Lt BT" w:hAnsi="Humnst777 Lt BT"/>
          <w:sz w:val="24"/>
          <w:szCs w:val="24"/>
        </w:rPr>
        <w:t xml:space="preserve">Approval is required if spending falls outside one or more of the applicable delegated limits. Spending should be measured on a whole life cost basis except where this is not sensible, for example for ongoing annual commitments. </w:t>
      </w:r>
    </w:p>
    <w:p w14:paraId="7C1D1A64" w14:textId="77777777" w:rsidR="003732F3" w:rsidRPr="007B2685" w:rsidRDefault="003732F3" w:rsidP="006E41CF">
      <w:pPr>
        <w:pStyle w:val="ListParagraph"/>
        <w:numPr>
          <w:ilvl w:val="0"/>
          <w:numId w:val="3"/>
        </w:numPr>
        <w:spacing w:after="0"/>
        <w:jc w:val="both"/>
        <w:rPr>
          <w:rFonts w:ascii="Humnst777 Lt BT" w:hAnsi="Humnst777 Lt BT"/>
          <w:sz w:val="24"/>
          <w:szCs w:val="24"/>
        </w:rPr>
      </w:pPr>
      <w:r w:rsidRPr="007B2685">
        <w:rPr>
          <w:rFonts w:ascii="Humnst777 Lt BT" w:hAnsi="Humnst777 Lt BT"/>
          <w:sz w:val="24"/>
          <w:szCs w:val="24"/>
        </w:rPr>
        <w:t>This includes all new projects and proposals/announcements, even when they are part of a larger programme or payment that was provided for as part of a Spending Review or other Treasury written approval and that are not covered by prior written approval from the Treasury.</w:t>
      </w:r>
    </w:p>
    <w:p w14:paraId="038A5FC6" w14:textId="77777777" w:rsidR="003732F3" w:rsidRPr="007B2685" w:rsidRDefault="003732F3" w:rsidP="006E41CF">
      <w:pPr>
        <w:pStyle w:val="ListParagraph"/>
        <w:numPr>
          <w:ilvl w:val="0"/>
          <w:numId w:val="3"/>
        </w:numPr>
        <w:spacing w:after="0"/>
        <w:jc w:val="both"/>
        <w:rPr>
          <w:rFonts w:ascii="Humnst777 Lt BT" w:hAnsi="Humnst777 Lt BT"/>
          <w:sz w:val="24"/>
          <w:szCs w:val="24"/>
        </w:rPr>
      </w:pPr>
      <w:r w:rsidRPr="007B2685">
        <w:rPr>
          <w:rFonts w:ascii="Humnst777 Lt BT" w:hAnsi="Humnst777 Lt BT"/>
          <w:sz w:val="24"/>
          <w:szCs w:val="24"/>
        </w:rPr>
        <w:t>This also includes renewal of existing projects and programmes where significant changes are being proposed.</w:t>
      </w:r>
    </w:p>
    <w:p w14:paraId="6E88E2B4" w14:textId="439130E4" w:rsidR="003732F3" w:rsidRDefault="003732F3" w:rsidP="006E41CF">
      <w:pPr>
        <w:pStyle w:val="ListParagraph"/>
        <w:numPr>
          <w:ilvl w:val="0"/>
          <w:numId w:val="3"/>
        </w:numPr>
        <w:spacing w:after="0"/>
        <w:jc w:val="both"/>
        <w:rPr>
          <w:rFonts w:ascii="Humnst777 Lt BT" w:hAnsi="Humnst777 Lt BT"/>
          <w:sz w:val="24"/>
          <w:szCs w:val="24"/>
        </w:rPr>
      </w:pPr>
      <w:r w:rsidRPr="007B2685">
        <w:rPr>
          <w:rFonts w:ascii="Humnst777 Lt BT" w:hAnsi="Humnst777 Lt BT"/>
          <w:sz w:val="24"/>
          <w:szCs w:val="24"/>
        </w:rPr>
        <w:t>Costs are on current net present value accruals basis.</w:t>
      </w:r>
    </w:p>
    <w:p w14:paraId="340D6D66" w14:textId="5FCFE4F1" w:rsidR="001E5D09" w:rsidRPr="007B2685" w:rsidRDefault="008D7966" w:rsidP="006E41CF">
      <w:pPr>
        <w:pStyle w:val="ListParagraph"/>
        <w:numPr>
          <w:ilvl w:val="0"/>
          <w:numId w:val="3"/>
        </w:numPr>
        <w:spacing w:after="0"/>
        <w:jc w:val="both"/>
        <w:rPr>
          <w:rFonts w:ascii="Humnst777 Lt BT" w:hAnsi="Humnst777 Lt BT"/>
          <w:sz w:val="24"/>
          <w:szCs w:val="24"/>
        </w:rPr>
      </w:pPr>
      <w:r>
        <w:rPr>
          <w:rFonts w:ascii="Humnst777 Lt BT" w:hAnsi="Humnst777 Lt BT"/>
          <w:sz w:val="24"/>
          <w:szCs w:val="24"/>
        </w:rPr>
        <w:t xml:space="preserve">Where relevant, </w:t>
      </w:r>
      <w:r w:rsidR="008F543E">
        <w:rPr>
          <w:rFonts w:ascii="Humnst777 Lt BT" w:hAnsi="Humnst777 Lt BT"/>
          <w:sz w:val="24"/>
          <w:szCs w:val="24"/>
        </w:rPr>
        <w:t xml:space="preserve">when comparing costs against delegated limits, </w:t>
      </w:r>
      <w:r w:rsidR="000151F2">
        <w:rPr>
          <w:rFonts w:ascii="Humnst777 Lt BT" w:hAnsi="Humnst777 Lt BT"/>
          <w:sz w:val="24"/>
          <w:szCs w:val="24"/>
        </w:rPr>
        <w:t>non-recoverable VAT will count towards the delegated limit (recoverable VAT will not).</w:t>
      </w:r>
    </w:p>
    <w:p w14:paraId="4DF669D5" w14:textId="77777777" w:rsidR="001E5D09" w:rsidRDefault="003732F3" w:rsidP="001E5D09">
      <w:pPr>
        <w:pStyle w:val="ListParagraph"/>
        <w:numPr>
          <w:ilvl w:val="0"/>
          <w:numId w:val="3"/>
        </w:numPr>
        <w:spacing w:after="0"/>
        <w:jc w:val="both"/>
        <w:rPr>
          <w:rFonts w:ascii="Humnst777 Lt BT" w:hAnsi="Humnst777 Lt BT"/>
          <w:sz w:val="24"/>
          <w:szCs w:val="24"/>
        </w:rPr>
      </w:pPr>
      <w:r w:rsidRPr="007B2685">
        <w:rPr>
          <w:rFonts w:ascii="Humnst777 Lt BT" w:hAnsi="Humnst777 Lt BT"/>
          <w:sz w:val="24"/>
          <w:szCs w:val="24"/>
        </w:rPr>
        <w:t xml:space="preserve">The cost is the sum of all payments committed to a body, organisation or individual from a single programme over its lifetime (i.e. costs should not be “unbundled” to fall below the delegation). </w:t>
      </w:r>
    </w:p>
    <w:p w14:paraId="5989A42A" w14:textId="7C907C1D" w:rsidR="001E5D09" w:rsidRPr="001E5D09" w:rsidRDefault="001E5D09" w:rsidP="001E5D09">
      <w:pPr>
        <w:spacing w:after="0"/>
        <w:jc w:val="both"/>
        <w:rPr>
          <w:rFonts w:ascii="Humnst777 Lt BT" w:hAnsi="Humnst777 Lt BT"/>
          <w:sz w:val="24"/>
          <w:szCs w:val="24"/>
        </w:rPr>
        <w:sectPr w:rsidR="001E5D09" w:rsidRPr="001E5D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02458C4" w14:textId="77777777" w:rsidR="00901FA0" w:rsidRDefault="00901FA0" w:rsidP="00B81A3C">
      <w:pPr>
        <w:spacing w:after="0"/>
        <w:jc w:val="both"/>
        <w:rPr>
          <w:rFonts w:ascii="Humnst777 Lt BT" w:hAnsi="Humnst777 Lt BT"/>
          <w:sz w:val="24"/>
          <w:szCs w:val="24"/>
        </w:rPr>
      </w:pPr>
    </w:p>
    <w:tbl>
      <w:tblPr>
        <w:tblW w:w="13869" w:type="dxa"/>
        <w:tblLook w:val="04A0" w:firstRow="1" w:lastRow="0" w:firstColumn="1" w:lastColumn="0" w:noHBand="0" w:noVBand="1"/>
      </w:tblPr>
      <w:tblGrid>
        <w:gridCol w:w="5080"/>
        <w:gridCol w:w="4536"/>
        <w:gridCol w:w="2127"/>
        <w:gridCol w:w="2126"/>
      </w:tblGrid>
      <w:tr w:rsidR="00C321D4" w:rsidRPr="00257594" w14:paraId="51676093" w14:textId="77777777" w:rsidTr="008F4313">
        <w:trPr>
          <w:trHeight w:val="420"/>
        </w:trPr>
        <w:tc>
          <w:tcPr>
            <w:tcW w:w="5080" w:type="dxa"/>
            <w:tcBorders>
              <w:top w:val="double" w:sz="6" w:space="0" w:color="3F3F3F"/>
              <w:left w:val="double" w:sz="6" w:space="0" w:color="3F3F3F"/>
              <w:bottom w:val="single" w:sz="4" w:space="0" w:color="auto"/>
              <w:right w:val="double" w:sz="6" w:space="0" w:color="3F3F3F"/>
            </w:tcBorders>
            <w:shd w:val="clear" w:color="auto" w:fill="7F7F7F" w:themeFill="text1" w:themeFillTint="80"/>
            <w:hideMark/>
          </w:tcPr>
          <w:p w14:paraId="3B93C510" w14:textId="77777777" w:rsidR="00C321D4" w:rsidRPr="00257594" w:rsidRDefault="00C321D4" w:rsidP="00257594">
            <w:pPr>
              <w:spacing w:after="0" w:line="240" w:lineRule="auto"/>
              <w:rPr>
                <w:rFonts w:ascii="Humnst777 Lt BT" w:hAnsi="Humnst777 Lt BT" w:cs="Calibri"/>
                <w:b/>
                <w:bCs/>
                <w:color w:val="FFFFFF"/>
                <w:sz w:val="24"/>
                <w:szCs w:val="24"/>
              </w:rPr>
            </w:pPr>
            <w:r w:rsidRPr="00257594">
              <w:rPr>
                <w:rFonts w:ascii="Humnst777 Lt BT" w:hAnsi="Humnst777 Lt BT" w:cs="Calibri"/>
                <w:b/>
                <w:bCs/>
                <w:color w:val="FFFFFF"/>
                <w:sz w:val="24"/>
                <w:szCs w:val="24"/>
              </w:rPr>
              <w:t>Nature of delegation</w:t>
            </w:r>
          </w:p>
        </w:tc>
        <w:tc>
          <w:tcPr>
            <w:tcW w:w="4536" w:type="dxa"/>
            <w:tcBorders>
              <w:top w:val="double" w:sz="6" w:space="0" w:color="3F3F3F"/>
              <w:left w:val="double" w:sz="6" w:space="0" w:color="3F3F3F"/>
              <w:bottom w:val="single" w:sz="4" w:space="0" w:color="auto"/>
              <w:right w:val="double" w:sz="6" w:space="0" w:color="3F3F3F"/>
            </w:tcBorders>
            <w:shd w:val="clear" w:color="auto" w:fill="7F7F7F" w:themeFill="text1" w:themeFillTint="80"/>
          </w:tcPr>
          <w:p w14:paraId="1F405009" w14:textId="07EAE1CA" w:rsidR="00C321D4" w:rsidRPr="008F4313" w:rsidRDefault="00C321D4" w:rsidP="00257594">
            <w:pPr>
              <w:spacing w:after="0" w:line="240" w:lineRule="auto"/>
              <w:rPr>
                <w:rFonts w:ascii="Humnst777 Lt BT" w:hAnsi="Humnst777 Lt BT" w:cs="Calibri"/>
                <w:b/>
                <w:bCs/>
                <w:color w:val="FFFFFF" w:themeColor="background1"/>
                <w:sz w:val="24"/>
                <w:szCs w:val="24"/>
              </w:rPr>
            </w:pPr>
            <w:r w:rsidRPr="008F4313">
              <w:rPr>
                <w:rFonts w:ascii="Humnst777 Lt BT" w:hAnsi="Humnst777 Lt BT" w:cs="Calibri"/>
                <w:b/>
                <w:bCs/>
                <w:color w:val="FFFFFF" w:themeColor="background1"/>
                <w:sz w:val="24"/>
                <w:szCs w:val="24"/>
              </w:rPr>
              <w:t>Type</w:t>
            </w:r>
          </w:p>
        </w:tc>
        <w:tc>
          <w:tcPr>
            <w:tcW w:w="2127" w:type="dxa"/>
            <w:tcBorders>
              <w:top w:val="double" w:sz="6" w:space="0" w:color="3F3F3F"/>
              <w:left w:val="nil"/>
              <w:bottom w:val="single" w:sz="4" w:space="0" w:color="auto"/>
              <w:right w:val="double" w:sz="6" w:space="0" w:color="3F3F3F"/>
            </w:tcBorders>
            <w:shd w:val="clear" w:color="auto" w:fill="7F7F7F" w:themeFill="text1" w:themeFillTint="80"/>
            <w:hideMark/>
          </w:tcPr>
          <w:p w14:paraId="014B3BC5" w14:textId="77777777" w:rsidR="00C321D4" w:rsidRPr="00257594" w:rsidRDefault="00C321D4" w:rsidP="00257594">
            <w:pPr>
              <w:spacing w:after="0" w:line="240" w:lineRule="auto"/>
              <w:rPr>
                <w:rFonts w:ascii="Humnst777 Lt BT" w:hAnsi="Humnst777 Lt BT" w:cs="Calibri"/>
                <w:b/>
                <w:bCs/>
                <w:color w:val="FFFFFF"/>
                <w:sz w:val="24"/>
                <w:szCs w:val="24"/>
              </w:rPr>
            </w:pPr>
            <w:r w:rsidRPr="00257594">
              <w:rPr>
                <w:rFonts w:ascii="Humnst777 Lt BT" w:hAnsi="Humnst777 Lt BT" w:cs="Calibri"/>
                <w:b/>
                <w:bCs/>
                <w:color w:val="FFFFFF"/>
                <w:sz w:val="24"/>
                <w:szCs w:val="24"/>
              </w:rPr>
              <w:t xml:space="preserve">Delegated limit </w:t>
            </w:r>
          </w:p>
        </w:tc>
        <w:tc>
          <w:tcPr>
            <w:tcW w:w="2126" w:type="dxa"/>
            <w:tcBorders>
              <w:top w:val="double" w:sz="6" w:space="0" w:color="3F3F3F"/>
              <w:left w:val="nil"/>
              <w:bottom w:val="single" w:sz="4" w:space="0" w:color="auto"/>
              <w:right w:val="double" w:sz="6" w:space="0" w:color="3F3F3F"/>
            </w:tcBorders>
            <w:shd w:val="clear" w:color="auto" w:fill="7F7F7F" w:themeFill="text1" w:themeFillTint="80"/>
            <w:hideMark/>
          </w:tcPr>
          <w:p w14:paraId="3E40A785" w14:textId="77777777" w:rsidR="00C321D4" w:rsidRPr="00257594" w:rsidRDefault="00C321D4" w:rsidP="00257594">
            <w:pPr>
              <w:spacing w:after="0" w:line="240" w:lineRule="auto"/>
              <w:rPr>
                <w:rFonts w:ascii="Humnst777 Lt BT" w:hAnsi="Humnst777 Lt BT" w:cs="Calibri"/>
                <w:b/>
                <w:bCs/>
                <w:color w:val="FFFFFF"/>
                <w:sz w:val="24"/>
                <w:szCs w:val="24"/>
              </w:rPr>
            </w:pPr>
            <w:r w:rsidRPr="00257594">
              <w:rPr>
                <w:rFonts w:ascii="Humnst777 Lt BT" w:hAnsi="Humnst777 Lt BT" w:cs="Calibri"/>
                <w:b/>
                <w:bCs/>
                <w:color w:val="FFFFFF"/>
                <w:sz w:val="24"/>
                <w:szCs w:val="24"/>
              </w:rPr>
              <w:t xml:space="preserve">Disclosure threshold </w:t>
            </w:r>
          </w:p>
        </w:tc>
      </w:tr>
      <w:tr w:rsidR="00560722" w:rsidRPr="00257594" w14:paraId="72F2E328" w14:textId="77777777" w:rsidTr="008F4313">
        <w:trPr>
          <w:trHeight w:val="2280"/>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14:paraId="05F0C2BE" w14:textId="3B4AB4C8"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Novel</w:t>
            </w:r>
            <w:r>
              <w:rPr>
                <w:rFonts w:ascii="Humnst777 Lt BT" w:hAnsi="Humnst777 Lt BT" w:cs="Calibri"/>
                <w:color w:val="000000"/>
                <w:sz w:val="24"/>
                <w:szCs w:val="24"/>
              </w:rPr>
              <w:t>, c</w:t>
            </w:r>
            <w:r w:rsidRPr="00257594">
              <w:rPr>
                <w:rFonts w:ascii="Humnst777 Lt BT" w:hAnsi="Humnst777 Lt BT" w:cs="Calibri"/>
                <w:color w:val="000000"/>
                <w:sz w:val="24"/>
                <w:szCs w:val="24"/>
              </w:rPr>
              <w:t>ontentious</w:t>
            </w:r>
            <w:r>
              <w:rPr>
                <w:rFonts w:ascii="Humnst777 Lt BT" w:hAnsi="Humnst777 Lt BT" w:cs="Calibri"/>
                <w:color w:val="000000"/>
                <w:sz w:val="24"/>
                <w:szCs w:val="24"/>
              </w:rPr>
              <w:t>,</w:t>
            </w:r>
            <w:r w:rsidRPr="00257594">
              <w:rPr>
                <w:rFonts w:ascii="Humnst777 Lt BT" w:hAnsi="Humnst777 Lt BT" w:cs="Calibri"/>
                <w:color w:val="000000"/>
                <w:sz w:val="24"/>
                <w:szCs w:val="24"/>
              </w:rPr>
              <w:t xml:space="preserve"> or </w:t>
            </w:r>
            <w:r>
              <w:rPr>
                <w:rFonts w:ascii="Humnst777 Lt BT" w:hAnsi="Humnst777 Lt BT" w:cs="Calibri"/>
                <w:color w:val="000000"/>
                <w:sz w:val="24"/>
                <w:szCs w:val="24"/>
              </w:rPr>
              <w:t>r</w:t>
            </w:r>
            <w:r w:rsidRPr="00257594">
              <w:rPr>
                <w:rFonts w:ascii="Humnst777 Lt BT" w:hAnsi="Humnst777 Lt BT" w:cs="Calibri"/>
                <w:color w:val="000000"/>
                <w:sz w:val="24"/>
                <w:szCs w:val="24"/>
              </w:rPr>
              <w:t xml:space="preserve">epercussive </w:t>
            </w:r>
            <w:r w:rsidR="001B0316">
              <w:rPr>
                <w:rFonts w:ascii="Humnst777 Lt BT" w:hAnsi="Humnst777 Lt BT" w:cs="Calibri"/>
                <w:color w:val="000000"/>
                <w:sz w:val="24"/>
                <w:szCs w:val="24"/>
              </w:rPr>
              <w:t>s</w:t>
            </w:r>
            <w:r w:rsidRPr="00257594">
              <w:rPr>
                <w:rFonts w:ascii="Humnst777 Lt BT" w:hAnsi="Humnst777 Lt BT" w:cs="Calibri"/>
                <w:color w:val="000000"/>
                <w:sz w:val="24"/>
                <w:szCs w:val="24"/>
              </w:rPr>
              <w:t>pend. This includes where commitments are made that may give rise to such spend in future i.e. novel guarantees, indemnities and contingent liabilities, novel financing techniques, significant departures from standard departmental terms and conditions</w:t>
            </w:r>
            <w:r>
              <w:rPr>
                <w:rFonts w:ascii="Humnst777 Lt BT" w:hAnsi="Humnst777 Lt BT" w:cs="Calibri"/>
                <w:color w:val="000000"/>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06BB69D"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F49525E"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Nil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AE9B5DD"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Nil </w:t>
            </w:r>
          </w:p>
        </w:tc>
      </w:tr>
      <w:tr w:rsidR="00560722" w:rsidRPr="00257594" w14:paraId="1570303D" w14:textId="77777777" w:rsidTr="008F4313">
        <w:trPr>
          <w:trHeight w:val="713"/>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169BE" w14:textId="13DCC407" w:rsidR="00257594" w:rsidRPr="00AF5D40" w:rsidRDefault="00257594" w:rsidP="00257594">
            <w:pPr>
              <w:spacing w:after="0" w:line="240" w:lineRule="auto"/>
              <w:rPr>
                <w:rFonts w:ascii="Humnst777 Lt BT" w:hAnsi="Humnst777 Lt BT" w:cs="Calibri"/>
                <w:color w:val="000000"/>
                <w:sz w:val="24"/>
                <w:szCs w:val="24"/>
              </w:rPr>
            </w:pPr>
            <w:r w:rsidRPr="00AF5D40">
              <w:rPr>
                <w:rFonts w:ascii="Humnst777 Lt BT" w:hAnsi="Humnst777 Lt BT" w:cs="Calibri"/>
                <w:color w:val="000000"/>
                <w:sz w:val="24"/>
                <w:szCs w:val="24"/>
              </w:rPr>
              <w:t>Projects and programs, and announcements and policy proposals with a defined timeline</w:t>
            </w:r>
            <w:r w:rsidR="00C321D4" w:rsidRPr="00AF5D40">
              <w:rPr>
                <w:rStyle w:val="FootnoteReference"/>
                <w:rFonts w:ascii="Humnst777 Lt BT" w:hAnsi="Humnst777 Lt BT" w:cs="Calibri"/>
                <w:color w:val="000000"/>
                <w:sz w:val="24"/>
                <w:szCs w:val="24"/>
              </w:rPr>
              <w:footnoteReference w:id="4"/>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04293BD"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Resource</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52A7AED" w14:textId="14D07603"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9BA9197"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r>
      <w:tr w:rsidR="00560722" w:rsidRPr="00257594" w14:paraId="7DDD3820" w14:textId="77777777" w:rsidTr="008F4313">
        <w:trPr>
          <w:trHeight w:val="638"/>
        </w:trPr>
        <w:tc>
          <w:tcPr>
            <w:tcW w:w="5080" w:type="dxa"/>
            <w:vMerge/>
            <w:tcBorders>
              <w:top w:val="single" w:sz="4" w:space="0" w:color="auto"/>
              <w:left w:val="single" w:sz="4" w:space="0" w:color="auto"/>
              <w:bottom w:val="single" w:sz="4" w:space="0" w:color="auto"/>
              <w:right w:val="single" w:sz="4" w:space="0" w:color="auto"/>
            </w:tcBorders>
            <w:vAlign w:val="center"/>
            <w:hideMark/>
          </w:tcPr>
          <w:p w14:paraId="0BF75A99" w14:textId="77777777" w:rsidR="00257594" w:rsidRPr="00AF5D40" w:rsidRDefault="00257594"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B5B492B"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Capital</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812C931"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3BD3D16"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r>
      <w:tr w:rsidR="00560722" w:rsidRPr="00257594" w14:paraId="652B8A22" w14:textId="77777777" w:rsidTr="008F4313">
        <w:trPr>
          <w:trHeight w:val="570"/>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14:paraId="2ABF1A3D" w14:textId="18CDA83E" w:rsidR="00257594" w:rsidRPr="00AF5D40" w:rsidRDefault="00257594" w:rsidP="00257594">
            <w:pPr>
              <w:spacing w:after="0" w:line="240" w:lineRule="auto"/>
              <w:rPr>
                <w:rFonts w:ascii="Humnst777 Lt BT" w:hAnsi="Humnst777 Lt BT" w:cs="Calibri"/>
                <w:color w:val="000000"/>
                <w:sz w:val="24"/>
                <w:szCs w:val="24"/>
              </w:rPr>
            </w:pPr>
            <w:r w:rsidRPr="00AF5D40">
              <w:rPr>
                <w:rFonts w:ascii="Humnst777 Lt BT" w:hAnsi="Humnst777 Lt BT" w:cs="Calibri"/>
                <w:color w:val="000000"/>
                <w:sz w:val="24"/>
                <w:szCs w:val="24"/>
              </w:rPr>
              <w:t>Announcements and policy proposals creating ongoing expenditure</w:t>
            </w:r>
            <w:r w:rsidR="00C321D4" w:rsidRPr="00AF5D40">
              <w:rPr>
                <w:rFonts w:ascii="Humnst777 Lt BT" w:hAnsi="Humnst777 Lt BT" w:cs="Calibri"/>
                <w:color w:val="000000"/>
                <w:sz w:val="24"/>
                <w:szCs w:val="24"/>
                <w:vertAlign w:val="superscript"/>
              </w:rPr>
              <w:t>3</w:t>
            </w:r>
            <w:r w:rsidRPr="00AF5D40">
              <w:rPr>
                <w:rFonts w:ascii="Humnst777 Lt BT" w:hAnsi="Humnst777 Lt BT" w:cs="Calibri"/>
                <w:color w:val="000000"/>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05E5E52"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Resource and capital</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F552031"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C0DEAE"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r>
      <w:tr w:rsidR="00560722" w:rsidRPr="00257594" w14:paraId="1EFD8A2D" w14:textId="77777777" w:rsidTr="008F4313">
        <w:trPr>
          <w:trHeight w:val="570"/>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14:paraId="525F1AC9" w14:textId="1EE5FD02" w:rsidR="00257594" w:rsidRPr="00AF5D40" w:rsidRDefault="00257594" w:rsidP="00257594">
            <w:pPr>
              <w:spacing w:after="0" w:line="240" w:lineRule="auto"/>
              <w:rPr>
                <w:rFonts w:ascii="Humnst777 Lt BT" w:hAnsi="Humnst777 Lt BT" w:cs="Calibri"/>
                <w:color w:val="000000"/>
                <w:sz w:val="24"/>
                <w:szCs w:val="24"/>
              </w:rPr>
            </w:pPr>
            <w:r w:rsidRPr="00AF5D40">
              <w:rPr>
                <w:rFonts w:ascii="Humnst777 Lt BT" w:hAnsi="Humnst777 Lt BT" w:cs="Calibri"/>
                <w:color w:val="000000"/>
                <w:sz w:val="24"/>
                <w:szCs w:val="24"/>
              </w:rPr>
              <w:t>Spending commitments beyond the current Spending Review settlement</w:t>
            </w:r>
            <w:r w:rsidR="00C321D4" w:rsidRPr="00AF5D40">
              <w:rPr>
                <w:rFonts w:ascii="Humnst777 Lt BT" w:hAnsi="Humnst777 Lt BT" w:cs="Calibri"/>
                <w:color w:val="000000"/>
                <w:sz w:val="24"/>
                <w:szCs w:val="24"/>
                <w:vertAlign w:val="superscript"/>
              </w:rPr>
              <w:t>3</w:t>
            </w:r>
            <w:r w:rsidRPr="00AF5D40">
              <w:rPr>
                <w:rFonts w:ascii="Humnst777 Lt BT" w:hAnsi="Humnst777 Lt BT" w:cs="Calibri"/>
                <w:color w:val="000000"/>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5936218"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Resource and capital</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226FABA"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C6D7A66"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r>
      <w:tr w:rsidR="00560722" w:rsidRPr="00257594" w14:paraId="0B8C0682" w14:textId="77777777" w:rsidTr="008F4313">
        <w:trPr>
          <w:trHeight w:val="285"/>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14:paraId="66D7FEAD"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Administrative expenditure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7521CBA"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N/A</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24B1EE"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ECAF7AA"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r>
      <w:tr w:rsidR="00560722" w:rsidRPr="00257594" w14:paraId="22979AC1" w14:textId="77777777" w:rsidTr="008F4313">
        <w:trPr>
          <w:trHeight w:val="285"/>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14:paraId="15E26339"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Stock write-offs and impairments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9054BD0"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Equipment, SOSP, IS/IT etc.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B3A36B0"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350ECC2"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r>
      <w:tr w:rsidR="00260686" w:rsidRPr="00257594" w14:paraId="28072051" w14:textId="77777777" w:rsidTr="008F4313">
        <w:trPr>
          <w:trHeight w:val="298"/>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D6C46" w14:textId="0897497D" w:rsidR="00260686" w:rsidRPr="00373258" w:rsidRDefault="00260686"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xml:space="preserve">Special payments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CBF97D8" w14:textId="1CA6513A" w:rsidR="00260686" w:rsidRPr="00373258" w:rsidRDefault="00260686" w:rsidP="00B57647">
            <w:pPr>
              <w:rPr>
                <w:rFonts w:ascii="Humnst777 Lt BT" w:hAnsi="Humnst777 Lt BT"/>
                <w:color w:val="000000"/>
                <w:sz w:val="24"/>
                <w:szCs w:val="24"/>
              </w:rPr>
            </w:pPr>
            <w:r w:rsidRPr="00373258">
              <w:rPr>
                <w:rFonts w:ascii="Humnst777 Lt BT" w:hAnsi="Humnst777 Lt BT"/>
                <w:color w:val="000000"/>
                <w:sz w:val="24"/>
                <w:szCs w:val="24"/>
              </w:rPr>
              <w:t>Extra-contractual payments</w:t>
            </w:r>
            <w:r w:rsidRPr="008F4313" w:rsidDel="00C321D4">
              <w:rPr>
                <w:rFonts w:ascii="Humnst777 Lt BT" w:hAnsi="Humnst777 Lt BT"/>
                <w:color w:val="000000"/>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D30E7DA" w14:textId="3386CF99" w:rsidR="00260686" w:rsidRPr="00373258" w:rsidRDefault="00260686"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83B5A61" w14:textId="77777777" w:rsidR="00260686" w:rsidRPr="00373258" w:rsidRDefault="00260686"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r>
      <w:tr w:rsidR="00260686" w:rsidRPr="00257594" w14:paraId="5A741194" w14:textId="77777777" w:rsidTr="008F4313">
        <w:trPr>
          <w:trHeight w:val="67"/>
        </w:trPr>
        <w:tc>
          <w:tcPr>
            <w:tcW w:w="5080" w:type="dxa"/>
            <w:vMerge/>
            <w:tcBorders>
              <w:top w:val="single" w:sz="4" w:space="0" w:color="auto"/>
              <w:left w:val="single" w:sz="4" w:space="0" w:color="auto"/>
              <w:bottom w:val="single" w:sz="4" w:space="0" w:color="auto"/>
              <w:right w:val="single" w:sz="4" w:space="0" w:color="auto"/>
            </w:tcBorders>
          </w:tcPr>
          <w:p w14:paraId="226E64A4" w14:textId="77777777" w:rsidR="00260686" w:rsidRPr="00373258" w:rsidRDefault="00260686"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17AD31" w14:textId="553E7439" w:rsidR="00260686" w:rsidRPr="00373258" w:rsidDel="00C321D4" w:rsidRDefault="00260686" w:rsidP="00B57647">
            <w:pPr>
              <w:rPr>
                <w:rFonts w:ascii="Humnst777 Lt BT" w:hAnsi="Humnst777 Lt BT"/>
                <w:color w:val="000000"/>
                <w:sz w:val="24"/>
                <w:szCs w:val="24"/>
              </w:rPr>
            </w:pPr>
            <w:r w:rsidRPr="3BC3B835">
              <w:rPr>
                <w:rFonts w:ascii="Humnst777 Lt BT" w:hAnsi="Humnst777 Lt BT"/>
                <w:color w:val="000000" w:themeColor="text1"/>
                <w:sz w:val="24"/>
                <w:szCs w:val="24"/>
              </w:rPr>
              <w:t>Ex-gratia compensation payments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5BDA76" w14:textId="77777777" w:rsidR="00260686" w:rsidRPr="00373258" w:rsidRDefault="00260686"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D8BA69" w14:textId="77777777" w:rsidR="00260686" w:rsidRPr="00373258" w:rsidRDefault="00260686" w:rsidP="00257594">
            <w:pPr>
              <w:spacing w:after="0" w:line="240" w:lineRule="auto"/>
              <w:rPr>
                <w:rFonts w:ascii="Humnst777 Lt BT" w:hAnsi="Humnst777 Lt BT" w:cs="Calibri"/>
                <w:color w:val="000000"/>
                <w:sz w:val="24"/>
                <w:szCs w:val="24"/>
              </w:rPr>
            </w:pPr>
          </w:p>
        </w:tc>
      </w:tr>
      <w:tr w:rsidR="00260686" w:rsidRPr="00257594" w14:paraId="7DF6DE77" w14:textId="77777777" w:rsidTr="008F4313">
        <w:trPr>
          <w:trHeight w:val="416"/>
        </w:trPr>
        <w:tc>
          <w:tcPr>
            <w:tcW w:w="5080" w:type="dxa"/>
            <w:vMerge/>
            <w:tcBorders>
              <w:top w:val="single" w:sz="4" w:space="0" w:color="auto"/>
              <w:left w:val="single" w:sz="4" w:space="0" w:color="auto"/>
              <w:bottom w:val="single" w:sz="4" w:space="0" w:color="auto"/>
              <w:right w:val="single" w:sz="4" w:space="0" w:color="auto"/>
            </w:tcBorders>
          </w:tcPr>
          <w:p w14:paraId="1C166BAA" w14:textId="77777777" w:rsidR="00260686" w:rsidRPr="00373258" w:rsidRDefault="00260686"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98623E" w14:textId="34371F50" w:rsidR="00260686" w:rsidRPr="00373258" w:rsidRDefault="00260686" w:rsidP="00B57647">
            <w:pPr>
              <w:rPr>
                <w:rFonts w:ascii="Humnst777 Lt BT" w:hAnsi="Humnst777 Lt BT"/>
                <w:color w:val="000000"/>
                <w:sz w:val="24"/>
                <w:szCs w:val="24"/>
              </w:rPr>
            </w:pPr>
            <w:r w:rsidRPr="3BC3B835">
              <w:rPr>
                <w:rFonts w:ascii="Humnst777 Lt BT" w:hAnsi="Humnst777 Lt BT"/>
                <w:color w:val="000000" w:themeColor="text1"/>
                <w:sz w:val="24"/>
                <w:szCs w:val="24"/>
              </w:rPr>
              <w:t>Extra-statutory payments</w:t>
            </w:r>
          </w:p>
          <w:p w14:paraId="232D1441" w14:textId="22AEAFCD" w:rsidR="00260686" w:rsidRPr="008F4313" w:rsidRDefault="00260686" w:rsidP="00373258">
            <w:pPr>
              <w:rPr>
                <w:rFonts w:ascii="Humnst777 Lt BT" w:hAnsi="Humnst777 Lt BT"/>
                <w:sz w:val="24"/>
                <w:szCs w:val="24"/>
              </w:rPr>
            </w:pPr>
            <w:r w:rsidRPr="3BC3B835">
              <w:rPr>
                <w:rFonts w:ascii="Humnst777 Lt BT" w:hAnsi="Humnst777 Lt BT"/>
                <w:sz w:val="24"/>
                <w:szCs w:val="24"/>
              </w:rPr>
              <w:lastRenderedPageBreak/>
              <w:t>Extra-regulatory payments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6EBDA2" w14:textId="77777777" w:rsidR="00260686" w:rsidRPr="00373258" w:rsidRDefault="00260686"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6DB649" w14:textId="77777777" w:rsidR="00260686" w:rsidRPr="00373258" w:rsidRDefault="00260686" w:rsidP="00257594">
            <w:pPr>
              <w:spacing w:after="0" w:line="240" w:lineRule="auto"/>
              <w:rPr>
                <w:rFonts w:ascii="Humnst777 Lt BT" w:hAnsi="Humnst777 Lt BT" w:cs="Calibri"/>
                <w:color w:val="000000"/>
                <w:sz w:val="24"/>
                <w:szCs w:val="24"/>
              </w:rPr>
            </w:pPr>
          </w:p>
        </w:tc>
      </w:tr>
      <w:tr w:rsidR="00260686" w:rsidRPr="00257594" w14:paraId="2C77D896" w14:textId="77777777" w:rsidTr="008F4313">
        <w:trPr>
          <w:trHeight w:val="1019"/>
        </w:trPr>
        <w:tc>
          <w:tcPr>
            <w:tcW w:w="5080" w:type="dxa"/>
            <w:vMerge/>
            <w:tcBorders>
              <w:top w:val="single" w:sz="4" w:space="0" w:color="auto"/>
              <w:left w:val="single" w:sz="4" w:space="0" w:color="auto"/>
              <w:bottom w:val="single" w:sz="4" w:space="0" w:color="auto"/>
              <w:right w:val="single" w:sz="4" w:space="0" w:color="auto"/>
            </w:tcBorders>
          </w:tcPr>
          <w:p w14:paraId="629BC660" w14:textId="77777777" w:rsidR="00260686" w:rsidRPr="00373258" w:rsidRDefault="00260686"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163069" w14:textId="0FC03CFA" w:rsidR="00260686" w:rsidRPr="00373258" w:rsidRDefault="00260686" w:rsidP="00B57647">
            <w:pPr>
              <w:rPr>
                <w:rFonts w:ascii="Humnst777 Lt BT" w:hAnsi="Humnst777 Lt BT"/>
                <w:color w:val="000000"/>
                <w:sz w:val="24"/>
                <w:szCs w:val="24"/>
              </w:rPr>
            </w:pPr>
            <w:r w:rsidRPr="00373258">
              <w:rPr>
                <w:rFonts w:ascii="Humnst777 Lt BT" w:hAnsi="Humnst777 Lt BT"/>
                <w:color w:val="000000"/>
                <w:sz w:val="24"/>
                <w:szCs w:val="24"/>
              </w:rPr>
              <w:t>Reasonable legal costs agreed or estimated and confirmed as reasonable by appropriate legal advice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4BF653" w14:textId="37CD46C9" w:rsidR="00260686" w:rsidRPr="00373258" w:rsidRDefault="00260686"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Unlimited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35A140" w14:textId="2BDCE31F" w:rsidR="00260686" w:rsidRPr="00373258" w:rsidRDefault="00260686" w:rsidP="00257594">
            <w:pPr>
              <w:spacing w:after="0" w:line="240" w:lineRule="auto"/>
              <w:rPr>
                <w:rFonts w:ascii="Humnst777 Lt BT" w:hAnsi="Humnst777 Lt BT" w:cs="Calibri"/>
                <w:color w:val="000000"/>
                <w:sz w:val="24"/>
                <w:szCs w:val="24"/>
              </w:rPr>
            </w:pPr>
            <w:r w:rsidRPr="3BC3B835">
              <w:rPr>
                <w:rFonts w:ascii="Humnst777 Lt BT" w:hAnsi="Humnst777 Lt BT" w:cs="Calibri"/>
                <w:color w:val="000000" w:themeColor="text1"/>
                <w:sz w:val="24"/>
                <w:szCs w:val="24"/>
              </w:rPr>
              <w:t>Unlimited</w:t>
            </w:r>
          </w:p>
        </w:tc>
      </w:tr>
      <w:tr w:rsidR="00260686" w:rsidRPr="00257594" w14:paraId="1B394227" w14:textId="77777777" w:rsidTr="008F4313">
        <w:trPr>
          <w:trHeight w:val="1644"/>
        </w:trPr>
        <w:tc>
          <w:tcPr>
            <w:tcW w:w="5080" w:type="dxa"/>
            <w:vMerge/>
            <w:tcBorders>
              <w:top w:val="single" w:sz="4" w:space="0" w:color="auto"/>
              <w:left w:val="single" w:sz="4" w:space="0" w:color="auto"/>
              <w:bottom w:val="single" w:sz="4" w:space="0" w:color="auto"/>
              <w:right w:val="single" w:sz="4" w:space="0" w:color="auto"/>
            </w:tcBorders>
          </w:tcPr>
          <w:p w14:paraId="0CBCBF26" w14:textId="77777777" w:rsidR="00260686" w:rsidRPr="00373258" w:rsidRDefault="00260686"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FDC150" w14:textId="56D82C64" w:rsidR="00260686" w:rsidRPr="00373258" w:rsidRDefault="00260686" w:rsidP="00B57647">
            <w:pPr>
              <w:rPr>
                <w:rFonts w:ascii="Humnst777 Lt BT" w:hAnsi="Humnst777 Lt BT"/>
                <w:color w:val="000000"/>
                <w:sz w:val="24"/>
                <w:szCs w:val="24"/>
              </w:rPr>
            </w:pPr>
            <w:r w:rsidRPr="00373258">
              <w:rPr>
                <w:rFonts w:ascii="Humnst777 Lt BT" w:hAnsi="Humnst777 Lt BT"/>
                <w:color w:val="000000"/>
                <w:sz w:val="24"/>
                <w:szCs w:val="24"/>
              </w:rPr>
              <w:t xml:space="preserve">Consolatory payments </w:t>
            </w:r>
            <w:r w:rsidRPr="00373258">
              <w:rPr>
                <w:rFonts w:ascii="Humnst777 Lt BT" w:hAnsi="Humnst777 Lt BT" w:cs="Calibri"/>
                <w:color w:val="000000"/>
                <w:sz w:val="24"/>
                <w:szCs w:val="24"/>
              </w:rPr>
              <w:t>(ex-gratia payments to individuals in respect of incidents which do not involve financial loss and there is no legal redress available)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EDEFDC" w14:textId="77777777" w:rsidR="00260686" w:rsidRPr="00373258" w:rsidRDefault="00260686"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177D93" w14:textId="77777777" w:rsidR="00260686" w:rsidRPr="00373258" w:rsidRDefault="00260686" w:rsidP="00257594">
            <w:pPr>
              <w:spacing w:after="0" w:line="240" w:lineRule="auto"/>
              <w:rPr>
                <w:rFonts w:ascii="Humnst777 Lt BT" w:hAnsi="Humnst777 Lt BT" w:cs="Calibri"/>
                <w:color w:val="000000"/>
                <w:sz w:val="24"/>
                <w:szCs w:val="24"/>
              </w:rPr>
            </w:pPr>
          </w:p>
        </w:tc>
      </w:tr>
      <w:tr w:rsidR="00260686" w:rsidRPr="00257594" w14:paraId="3B316866" w14:textId="77777777" w:rsidTr="008F4313">
        <w:trPr>
          <w:trHeight w:val="649"/>
        </w:trPr>
        <w:tc>
          <w:tcPr>
            <w:tcW w:w="5080" w:type="dxa"/>
            <w:vMerge/>
            <w:tcBorders>
              <w:top w:val="single" w:sz="4" w:space="0" w:color="auto"/>
              <w:left w:val="single" w:sz="4" w:space="0" w:color="auto"/>
              <w:bottom w:val="single" w:sz="4" w:space="0" w:color="auto"/>
              <w:right w:val="single" w:sz="4" w:space="0" w:color="auto"/>
            </w:tcBorders>
          </w:tcPr>
          <w:p w14:paraId="7EAB8C29" w14:textId="77777777" w:rsidR="00260686" w:rsidRPr="00373258" w:rsidRDefault="00260686"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2CF15D" w14:textId="1E0DE370" w:rsidR="00260686" w:rsidRPr="00373258" w:rsidRDefault="00260686" w:rsidP="00B57647">
            <w:pPr>
              <w:rPr>
                <w:rFonts w:ascii="Humnst777 Lt BT" w:hAnsi="Humnst777 Lt BT"/>
                <w:color w:val="000000"/>
                <w:sz w:val="24"/>
                <w:szCs w:val="24"/>
              </w:rPr>
            </w:pPr>
            <w:r w:rsidRPr="00373258">
              <w:rPr>
                <w:rFonts w:ascii="Humnst777 Lt BT" w:hAnsi="Humnst777 Lt BT"/>
                <w:color w:val="000000"/>
                <w:sz w:val="24"/>
                <w:szCs w:val="24"/>
              </w:rPr>
              <w:t>Special severance payments,</w:t>
            </w:r>
            <w:r w:rsidRPr="00373258">
              <w:t xml:space="preserve"> </w:t>
            </w:r>
            <w:r w:rsidRPr="00373258">
              <w:rPr>
                <w:rFonts w:ascii="Humnst777 Lt BT" w:hAnsi="Humnst777 Lt BT"/>
                <w:color w:val="000000"/>
                <w:sz w:val="24"/>
                <w:szCs w:val="24"/>
              </w:rPr>
              <w:t>including PILON and CILON, outside of normal statutory or contractual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3448FC" w14:textId="67F0CFB8" w:rsidR="00260686" w:rsidRPr="00373258" w:rsidRDefault="00260686"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Nil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E0E155" w14:textId="05371B8B" w:rsidR="00260686" w:rsidRPr="00373258" w:rsidRDefault="00260686"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Nil</w:t>
            </w:r>
          </w:p>
        </w:tc>
      </w:tr>
      <w:tr w:rsidR="00373258" w:rsidRPr="00257594" w14:paraId="4BCF632A" w14:textId="77777777" w:rsidTr="008F4313">
        <w:trPr>
          <w:trHeight w:val="930"/>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30EE5E" w14:textId="150F01AD"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Losses</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B356697" w14:textId="7BC01718"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xml:space="preserve">Cash losses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AAD6B8D" w14:textId="1342FE57"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03B8A6" w14:textId="0C240495"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6648CC1A" w14:textId="77777777" w:rsidTr="008F4313">
        <w:trPr>
          <w:trHeight w:val="930"/>
        </w:trPr>
        <w:tc>
          <w:tcPr>
            <w:tcW w:w="5080" w:type="dxa"/>
            <w:vMerge/>
            <w:tcBorders>
              <w:top w:val="single" w:sz="4" w:space="0" w:color="auto"/>
              <w:left w:val="single" w:sz="4" w:space="0" w:color="auto"/>
              <w:bottom w:val="single" w:sz="4" w:space="0" w:color="auto"/>
            </w:tcBorders>
          </w:tcPr>
          <w:p w14:paraId="2E243C20"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236613" w14:textId="676D4522"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Realised exchange rate and hedging losses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0FC78F"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679EEE"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446F6477" w14:textId="77777777" w:rsidTr="008F4313">
        <w:trPr>
          <w:trHeight w:val="930"/>
        </w:trPr>
        <w:tc>
          <w:tcPr>
            <w:tcW w:w="5080" w:type="dxa"/>
            <w:vMerge/>
            <w:tcBorders>
              <w:top w:val="single" w:sz="4" w:space="0" w:color="auto"/>
              <w:left w:val="single" w:sz="4" w:space="0" w:color="auto"/>
              <w:bottom w:val="single" w:sz="4" w:space="0" w:color="auto"/>
            </w:tcBorders>
          </w:tcPr>
          <w:p w14:paraId="6F4816FE"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BE06C4" w14:textId="7A892BD8" w:rsidR="00373258" w:rsidRPr="00373258" w:rsidRDefault="00373258" w:rsidP="00373258">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Losses of pay, allowances and superannuation benefits paid to civil servants, members of</w:t>
            </w:r>
          </w:p>
          <w:p w14:paraId="3BA6FB85" w14:textId="76EB1EB6" w:rsidR="00373258" w:rsidRPr="00373258" w:rsidRDefault="00373258" w:rsidP="00373258">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the armed forces and ALB employees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00BF0DD"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41611"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38C54A55" w14:textId="77777777" w:rsidTr="008F4313">
        <w:trPr>
          <w:trHeight w:val="930"/>
        </w:trPr>
        <w:tc>
          <w:tcPr>
            <w:tcW w:w="5080" w:type="dxa"/>
            <w:vMerge/>
            <w:tcBorders>
              <w:top w:val="single" w:sz="4" w:space="0" w:color="auto"/>
              <w:left w:val="single" w:sz="4" w:space="0" w:color="auto"/>
              <w:bottom w:val="single" w:sz="4" w:space="0" w:color="auto"/>
            </w:tcBorders>
          </w:tcPr>
          <w:p w14:paraId="006DFE5A"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C3835C" w14:textId="5060B314"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Losses arising from overpayments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9330E5"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C7A9AD"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0B9311C6" w14:textId="77777777" w:rsidTr="008F4313">
        <w:trPr>
          <w:trHeight w:val="930"/>
        </w:trPr>
        <w:tc>
          <w:tcPr>
            <w:tcW w:w="5080" w:type="dxa"/>
            <w:vMerge/>
            <w:tcBorders>
              <w:top w:val="single" w:sz="4" w:space="0" w:color="auto"/>
              <w:left w:val="single" w:sz="4" w:space="0" w:color="auto"/>
              <w:bottom w:val="single" w:sz="4" w:space="0" w:color="auto"/>
            </w:tcBorders>
          </w:tcPr>
          <w:p w14:paraId="44FB8BAE"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12A629D" w14:textId="222A6DE1"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Losses arising from failure to make adequate charges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15D0B0"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F3DDDC"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5FCD92C2" w14:textId="77777777" w:rsidTr="008F4313">
        <w:trPr>
          <w:trHeight w:val="930"/>
        </w:trPr>
        <w:tc>
          <w:tcPr>
            <w:tcW w:w="5080" w:type="dxa"/>
            <w:vMerge/>
            <w:tcBorders>
              <w:top w:val="single" w:sz="4" w:space="0" w:color="auto"/>
              <w:left w:val="single" w:sz="4" w:space="0" w:color="auto"/>
              <w:bottom w:val="single" w:sz="4" w:space="0" w:color="auto"/>
            </w:tcBorders>
          </w:tcPr>
          <w:p w14:paraId="241D8C08"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91E41A" w14:textId="4DF80CF9"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Losses of accountable stores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3E88114"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ACA89F"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2B685079" w14:textId="77777777" w:rsidTr="008F4313">
        <w:trPr>
          <w:trHeight w:val="930"/>
        </w:trPr>
        <w:tc>
          <w:tcPr>
            <w:tcW w:w="5080" w:type="dxa"/>
            <w:vMerge/>
            <w:tcBorders>
              <w:top w:val="single" w:sz="4" w:space="0" w:color="auto"/>
              <w:left w:val="single" w:sz="4" w:space="0" w:color="auto"/>
              <w:bottom w:val="single" w:sz="4" w:space="0" w:color="auto"/>
            </w:tcBorders>
          </w:tcPr>
          <w:p w14:paraId="481B24FE"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67065B" w14:textId="2A391DD6"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Losses through fraud, theft and deliberate act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6BA1FC"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31FA9E"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2716A515" w14:textId="77777777" w:rsidTr="008F4313">
        <w:trPr>
          <w:trHeight w:val="930"/>
        </w:trPr>
        <w:tc>
          <w:tcPr>
            <w:tcW w:w="5080" w:type="dxa"/>
            <w:vMerge/>
            <w:tcBorders>
              <w:top w:val="single" w:sz="4" w:space="0" w:color="auto"/>
              <w:left w:val="single" w:sz="4" w:space="0" w:color="auto"/>
              <w:bottom w:val="single" w:sz="4" w:space="0" w:color="auto"/>
            </w:tcBorders>
          </w:tcPr>
          <w:p w14:paraId="6C8402C0"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6A7DA2" w14:textId="38A99558"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Fruitless payments and constructive losses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3626952"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6F54D8" w14:textId="77777777" w:rsidR="00373258" w:rsidRPr="00373258" w:rsidRDefault="00373258" w:rsidP="00257594">
            <w:pPr>
              <w:spacing w:after="0" w:line="240" w:lineRule="auto"/>
              <w:rPr>
                <w:rFonts w:ascii="Humnst777 Lt BT" w:hAnsi="Humnst777 Lt BT" w:cs="Calibri"/>
                <w:color w:val="000000"/>
                <w:sz w:val="24"/>
                <w:szCs w:val="24"/>
              </w:rPr>
            </w:pPr>
          </w:p>
        </w:tc>
      </w:tr>
      <w:tr w:rsidR="00373258" w:rsidRPr="00257594" w14:paraId="5ACFF055" w14:textId="77777777" w:rsidTr="008F4313">
        <w:trPr>
          <w:trHeight w:val="930"/>
        </w:trPr>
        <w:tc>
          <w:tcPr>
            <w:tcW w:w="5080" w:type="dxa"/>
            <w:vMerge/>
            <w:tcBorders>
              <w:top w:val="single" w:sz="4" w:space="0" w:color="auto"/>
              <w:left w:val="single" w:sz="4" w:space="0" w:color="auto"/>
              <w:bottom w:val="single" w:sz="4" w:space="0" w:color="auto"/>
            </w:tcBorders>
          </w:tcPr>
          <w:p w14:paraId="2AC7DC77" w14:textId="77777777" w:rsidR="00373258" w:rsidRPr="00373258" w:rsidDel="00373258" w:rsidRDefault="00373258"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618B4C" w14:textId="77EE0709" w:rsidR="00373258" w:rsidRPr="00373258" w:rsidRDefault="00373258"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Claims waived or abandoned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29BE6F" w14:textId="77777777" w:rsidR="00373258" w:rsidRPr="00373258" w:rsidRDefault="00373258" w:rsidP="00257594">
            <w:pPr>
              <w:spacing w:after="0" w:line="240" w:lineRule="auto"/>
              <w:rPr>
                <w:rFonts w:ascii="Humnst777 Lt BT" w:hAnsi="Humnst777 Lt BT" w:cs="Calibri"/>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B85FC" w14:textId="77777777" w:rsidR="00373258" w:rsidRPr="00373258" w:rsidRDefault="00373258" w:rsidP="00257594">
            <w:pPr>
              <w:spacing w:after="0" w:line="240" w:lineRule="auto"/>
              <w:rPr>
                <w:rFonts w:ascii="Humnst777 Lt BT" w:hAnsi="Humnst777 Lt BT" w:cs="Calibri"/>
                <w:color w:val="000000"/>
                <w:sz w:val="24"/>
                <w:szCs w:val="24"/>
              </w:rPr>
            </w:pPr>
          </w:p>
        </w:tc>
      </w:tr>
      <w:tr w:rsidR="00560722" w:rsidRPr="00257594" w14:paraId="401662B4" w14:textId="77777777" w:rsidTr="008F4313">
        <w:trPr>
          <w:trHeight w:val="345"/>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C1833"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Other</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6D9437B" w14:textId="128BAB48"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Charitable grants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7FE8F57"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BCDC54A"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r>
      <w:tr w:rsidR="00560722" w:rsidRPr="00257594" w14:paraId="48D3B615" w14:textId="77777777" w:rsidTr="008F4313">
        <w:trPr>
          <w:trHeight w:val="285"/>
        </w:trPr>
        <w:tc>
          <w:tcPr>
            <w:tcW w:w="5080" w:type="dxa"/>
            <w:vMerge/>
            <w:tcBorders>
              <w:top w:val="single" w:sz="4" w:space="0" w:color="auto"/>
              <w:left w:val="single" w:sz="4" w:space="0" w:color="auto"/>
              <w:bottom w:val="single" w:sz="4" w:space="0" w:color="auto"/>
              <w:right w:val="single" w:sz="4" w:space="0" w:color="auto"/>
            </w:tcBorders>
            <w:vAlign w:val="center"/>
            <w:hideMark/>
          </w:tcPr>
          <w:p w14:paraId="35D55D6C" w14:textId="77777777" w:rsidR="00257594" w:rsidRPr="00373258" w:rsidRDefault="00257594"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56DBD64" w14:textId="7282AE76"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Subsidies</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E079844"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4695AF8"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r>
      <w:tr w:rsidR="00560722" w:rsidRPr="00257594" w14:paraId="3029FD52" w14:textId="77777777" w:rsidTr="008F4313">
        <w:trPr>
          <w:trHeight w:val="615"/>
        </w:trPr>
        <w:tc>
          <w:tcPr>
            <w:tcW w:w="5080" w:type="dxa"/>
            <w:vMerge/>
            <w:tcBorders>
              <w:top w:val="single" w:sz="4" w:space="0" w:color="auto"/>
              <w:left w:val="single" w:sz="4" w:space="0" w:color="auto"/>
              <w:bottom w:val="single" w:sz="4" w:space="0" w:color="auto"/>
              <w:right w:val="single" w:sz="4" w:space="0" w:color="auto"/>
            </w:tcBorders>
            <w:vAlign w:val="center"/>
            <w:hideMark/>
          </w:tcPr>
          <w:p w14:paraId="3EF2CD2C" w14:textId="77777777" w:rsidR="00257594" w:rsidRPr="00373258" w:rsidRDefault="00257594"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3B5EC1A"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xml:space="preserve">Gifts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52F501F"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321BBAF" w14:textId="77777777" w:rsidR="00257594" w:rsidRPr="00373258" w:rsidRDefault="00257594" w:rsidP="00257594">
            <w:pPr>
              <w:spacing w:after="0" w:line="240" w:lineRule="auto"/>
              <w:rPr>
                <w:rFonts w:ascii="Humnst777 Lt BT" w:hAnsi="Humnst777 Lt BT" w:cs="Calibri"/>
                <w:color w:val="000000"/>
                <w:sz w:val="24"/>
                <w:szCs w:val="24"/>
              </w:rPr>
            </w:pPr>
            <w:r w:rsidRPr="00373258">
              <w:rPr>
                <w:rFonts w:ascii="Humnst777 Lt BT" w:hAnsi="Humnst777 Lt BT" w:cs="Calibri"/>
                <w:color w:val="000000"/>
                <w:sz w:val="24"/>
                <w:szCs w:val="24"/>
              </w:rPr>
              <w:t> </w:t>
            </w:r>
          </w:p>
        </w:tc>
      </w:tr>
      <w:tr w:rsidR="00560722" w:rsidRPr="00257594" w14:paraId="1BC8260E" w14:textId="77777777" w:rsidTr="008F4313">
        <w:trPr>
          <w:trHeight w:val="285"/>
        </w:trPr>
        <w:tc>
          <w:tcPr>
            <w:tcW w:w="5080" w:type="dxa"/>
            <w:tcBorders>
              <w:top w:val="single" w:sz="4" w:space="0" w:color="auto"/>
              <w:left w:val="nil"/>
              <w:bottom w:val="nil"/>
              <w:right w:val="nil"/>
            </w:tcBorders>
            <w:shd w:val="clear" w:color="auto" w:fill="auto"/>
            <w:hideMark/>
          </w:tcPr>
          <w:p w14:paraId="69D55D45" w14:textId="77777777" w:rsidR="00257594" w:rsidRPr="00257594" w:rsidRDefault="00257594" w:rsidP="00257594">
            <w:pPr>
              <w:spacing w:after="0" w:line="240" w:lineRule="auto"/>
              <w:rPr>
                <w:rFonts w:ascii="Humnst777 Lt BT" w:hAnsi="Humnst777 Lt BT" w:cs="Calibri"/>
                <w:color w:val="000000"/>
                <w:sz w:val="24"/>
                <w:szCs w:val="24"/>
              </w:rPr>
            </w:pPr>
          </w:p>
        </w:tc>
        <w:tc>
          <w:tcPr>
            <w:tcW w:w="4536" w:type="dxa"/>
            <w:tcBorders>
              <w:top w:val="single" w:sz="4" w:space="0" w:color="auto"/>
              <w:left w:val="nil"/>
              <w:bottom w:val="nil"/>
              <w:right w:val="nil"/>
            </w:tcBorders>
            <w:shd w:val="clear" w:color="auto" w:fill="auto"/>
            <w:hideMark/>
          </w:tcPr>
          <w:p w14:paraId="3967FD34" w14:textId="77777777" w:rsidR="00257594" w:rsidRPr="00257594" w:rsidRDefault="00257594" w:rsidP="00257594">
            <w:pPr>
              <w:spacing w:after="0" w:line="240" w:lineRule="auto"/>
              <w:rPr>
                <w:rFonts w:ascii="Humnst777 Lt BT" w:hAnsi="Humnst777 Lt BT"/>
                <w:sz w:val="24"/>
                <w:szCs w:val="24"/>
              </w:rPr>
            </w:pPr>
          </w:p>
        </w:tc>
        <w:tc>
          <w:tcPr>
            <w:tcW w:w="2127" w:type="dxa"/>
            <w:tcBorders>
              <w:top w:val="single" w:sz="4" w:space="0" w:color="auto"/>
              <w:left w:val="nil"/>
              <w:bottom w:val="nil"/>
              <w:right w:val="nil"/>
            </w:tcBorders>
            <w:shd w:val="clear" w:color="auto" w:fill="auto"/>
            <w:hideMark/>
          </w:tcPr>
          <w:p w14:paraId="65698543" w14:textId="77777777" w:rsidR="00257594" w:rsidRPr="00257594" w:rsidRDefault="00257594" w:rsidP="00257594">
            <w:pPr>
              <w:spacing w:after="0" w:line="240" w:lineRule="auto"/>
              <w:rPr>
                <w:rFonts w:ascii="Humnst777 Lt BT" w:hAnsi="Humnst777 Lt BT"/>
                <w:sz w:val="24"/>
                <w:szCs w:val="24"/>
              </w:rPr>
            </w:pPr>
          </w:p>
        </w:tc>
        <w:tc>
          <w:tcPr>
            <w:tcW w:w="2126" w:type="dxa"/>
            <w:tcBorders>
              <w:top w:val="single" w:sz="4" w:space="0" w:color="auto"/>
              <w:left w:val="nil"/>
              <w:bottom w:val="nil"/>
              <w:right w:val="nil"/>
            </w:tcBorders>
            <w:shd w:val="clear" w:color="auto" w:fill="auto"/>
            <w:hideMark/>
          </w:tcPr>
          <w:p w14:paraId="1C2A3F39" w14:textId="22D47412" w:rsidR="00257594" w:rsidRPr="00257594" w:rsidRDefault="00257594" w:rsidP="00257594">
            <w:pPr>
              <w:spacing w:after="0" w:line="240" w:lineRule="auto"/>
              <w:rPr>
                <w:rFonts w:ascii="Humnst777 Lt BT" w:hAnsi="Humnst777 Lt BT"/>
                <w:sz w:val="24"/>
                <w:szCs w:val="24"/>
              </w:rPr>
            </w:pPr>
          </w:p>
        </w:tc>
      </w:tr>
      <w:tr w:rsidR="00560722" w:rsidRPr="00257594" w14:paraId="2847FE0E" w14:textId="77777777" w:rsidTr="3BC3B835">
        <w:trPr>
          <w:trHeight w:val="1425"/>
        </w:trPr>
        <w:tc>
          <w:tcPr>
            <w:tcW w:w="13869" w:type="dxa"/>
            <w:gridSpan w:val="4"/>
            <w:tcBorders>
              <w:top w:val="nil"/>
              <w:left w:val="nil"/>
              <w:bottom w:val="nil"/>
              <w:right w:val="nil"/>
            </w:tcBorders>
            <w:shd w:val="clear" w:color="auto" w:fill="auto"/>
            <w:hideMark/>
          </w:tcPr>
          <w:p w14:paraId="1F1FF6B3" w14:textId="7A87DAC4" w:rsidR="00373258" w:rsidRPr="008F4313" w:rsidRDefault="00560722" w:rsidP="00373258">
            <w:pPr>
              <w:spacing w:after="0" w:line="240" w:lineRule="auto"/>
              <w:rPr>
                <w:rFonts w:ascii="Humnst777 Lt BT" w:hAnsi="Humnst777 Lt BT" w:cs="Calibri"/>
                <w:color w:val="000000"/>
                <w:sz w:val="24"/>
                <w:szCs w:val="24"/>
              </w:rPr>
            </w:pPr>
            <w:r w:rsidRPr="00257594">
              <w:rPr>
                <w:rFonts w:ascii="Humnst777 Lt BT" w:hAnsi="Humnst777 Lt BT" w:cs="Calibri"/>
                <w:i/>
                <w:iCs/>
                <w:color w:val="000000"/>
                <w:sz w:val="24"/>
                <w:szCs w:val="24"/>
              </w:rPr>
              <w:t>Managing Public Money</w:t>
            </w:r>
            <w:r w:rsidRPr="00257594">
              <w:rPr>
                <w:rFonts w:ascii="Humnst777 Lt BT" w:hAnsi="Humnst777 Lt BT" w:cs="Calibri"/>
                <w:color w:val="000000"/>
                <w:sz w:val="24"/>
                <w:szCs w:val="24"/>
              </w:rPr>
              <w:t xml:space="preserve"> </w:t>
            </w:r>
            <w:r>
              <w:rPr>
                <w:rFonts w:ascii="Humnst777 Lt BT" w:hAnsi="Humnst777 Lt BT" w:cs="Calibri"/>
                <w:color w:val="000000"/>
                <w:sz w:val="24"/>
                <w:szCs w:val="24"/>
              </w:rPr>
              <w:t>sets out clearly the areas in which HM Treasury consent is required in more detail, so the below list should not be considered exhaust</w:t>
            </w:r>
            <w:r w:rsidR="00A4485F">
              <w:rPr>
                <w:rFonts w:ascii="Humnst777 Lt BT" w:hAnsi="Humnst777 Lt BT" w:cs="Calibri"/>
                <w:color w:val="000000"/>
                <w:sz w:val="24"/>
                <w:szCs w:val="24"/>
              </w:rPr>
              <w:t>ive</w:t>
            </w:r>
            <w:r>
              <w:rPr>
                <w:rFonts w:ascii="Humnst777 Lt BT" w:hAnsi="Humnst777 Lt BT" w:cs="Calibri"/>
                <w:color w:val="000000"/>
                <w:sz w:val="24"/>
                <w:szCs w:val="24"/>
              </w:rPr>
              <w:t xml:space="preserve">. </w:t>
            </w:r>
            <w:r w:rsidR="00A4485F">
              <w:rPr>
                <w:rFonts w:ascii="Humnst777 Lt BT" w:hAnsi="Humnst777 Lt BT" w:cs="Calibri"/>
                <w:color w:val="000000"/>
                <w:sz w:val="24"/>
                <w:szCs w:val="24"/>
              </w:rPr>
              <w:t xml:space="preserve">It </w:t>
            </w:r>
            <w:r w:rsidRPr="00257594">
              <w:rPr>
                <w:rFonts w:ascii="Humnst777 Lt BT" w:hAnsi="Humnst777 Lt BT" w:cs="Calibri"/>
                <w:color w:val="000000"/>
                <w:sz w:val="24"/>
                <w:szCs w:val="24"/>
              </w:rPr>
              <w:t xml:space="preserve">is provided below as an aide memoire </w:t>
            </w:r>
            <w:r w:rsidR="00A4485F">
              <w:rPr>
                <w:rFonts w:ascii="Humnst777 Lt BT" w:hAnsi="Humnst777 Lt BT" w:cs="Calibri"/>
                <w:color w:val="000000"/>
                <w:sz w:val="24"/>
                <w:szCs w:val="24"/>
              </w:rPr>
              <w:t>for</w:t>
            </w:r>
            <w:r w:rsidRPr="00257594">
              <w:rPr>
                <w:rFonts w:ascii="Humnst777 Lt BT" w:hAnsi="Humnst777 Lt BT" w:cs="Calibri"/>
                <w:color w:val="000000"/>
                <w:sz w:val="24"/>
                <w:szCs w:val="24"/>
              </w:rPr>
              <w:t xml:space="preserve"> areas where explicit HMT consent is needed even where the related spending may fall within delegations</w:t>
            </w:r>
          </w:p>
        </w:tc>
      </w:tr>
      <w:tr w:rsidR="00560722" w:rsidRPr="00257594" w14:paraId="512E0F2E" w14:textId="77777777" w:rsidTr="3BC3B835">
        <w:trPr>
          <w:trHeight w:val="285"/>
        </w:trPr>
        <w:tc>
          <w:tcPr>
            <w:tcW w:w="117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hideMark/>
          </w:tcPr>
          <w:p w14:paraId="11134F6B" w14:textId="58F78D1E" w:rsidR="00560722" w:rsidRPr="00257594" w:rsidRDefault="00560722" w:rsidP="00257594">
            <w:pPr>
              <w:spacing w:after="0" w:line="240" w:lineRule="auto"/>
              <w:rPr>
                <w:rFonts w:ascii="Humnst777 Lt BT" w:hAnsi="Humnst777 Lt BT" w:cs="Calibri"/>
                <w:b/>
                <w:bCs/>
                <w:color w:val="000000"/>
                <w:sz w:val="24"/>
                <w:szCs w:val="24"/>
              </w:rPr>
            </w:pPr>
            <w:r w:rsidRPr="00257594">
              <w:rPr>
                <w:rFonts w:ascii="Humnst777 Lt BT" w:hAnsi="Humnst777 Lt BT" w:cs="Calibri"/>
                <w:color w:val="000000"/>
                <w:sz w:val="24"/>
                <w:szCs w:val="24"/>
              </w:rPr>
              <w:t> </w:t>
            </w:r>
            <w:r w:rsidRPr="00257594">
              <w:rPr>
                <w:rFonts w:ascii="Humnst777 Lt BT" w:hAnsi="Humnst777 Lt BT" w:cs="Calibri"/>
                <w:b/>
                <w:bCs/>
                <w:color w:val="FFFFFF" w:themeColor="background1"/>
                <w:sz w:val="24"/>
                <w:szCs w:val="24"/>
              </w:rPr>
              <w:t>M</w:t>
            </w:r>
            <w:r w:rsidR="005B2183">
              <w:rPr>
                <w:rFonts w:ascii="Humnst777 Lt BT" w:hAnsi="Humnst777 Lt BT" w:cs="Calibri"/>
                <w:b/>
                <w:bCs/>
                <w:color w:val="FFFFFF" w:themeColor="background1"/>
                <w:sz w:val="24"/>
                <w:szCs w:val="24"/>
              </w:rPr>
              <w:t xml:space="preserve">anaging </w:t>
            </w:r>
            <w:r w:rsidRPr="00257594">
              <w:rPr>
                <w:rFonts w:ascii="Humnst777 Lt BT" w:hAnsi="Humnst777 Lt BT" w:cs="Calibri"/>
                <w:b/>
                <w:bCs/>
                <w:color w:val="FFFFFF" w:themeColor="background1"/>
                <w:sz w:val="24"/>
                <w:szCs w:val="24"/>
              </w:rPr>
              <w:t>P</w:t>
            </w:r>
            <w:r w:rsidR="005B2183">
              <w:rPr>
                <w:rFonts w:ascii="Humnst777 Lt BT" w:hAnsi="Humnst777 Lt BT" w:cs="Calibri"/>
                <w:b/>
                <w:bCs/>
                <w:color w:val="FFFFFF" w:themeColor="background1"/>
                <w:sz w:val="24"/>
                <w:szCs w:val="24"/>
              </w:rPr>
              <w:t xml:space="preserve">ublic </w:t>
            </w:r>
            <w:r w:rsidRPr="00257594">
              <w:rPr>
                <w:rFonts w:ascii="Humnst777 Lt BT" w:hAnsi="Humnst777 Lt BT" w:cs="Calibri"/>
                <w:b/>
                <w:bCs/>
                <w:color w:val="FFFFFF" w:themeColor="background1"/>
                <w:sz w:val="24"/>
                <w:szCs w:val="24"/>
              </w:rPr>
              <w:t>M</w:t>
            </w:r>
            <w:r w:rsidR="005B2183">
              <w:rPr>
                <w:rFonts w:ascii="Humnst777 Lt BT" w:hAnsi="Humnst777 Lt BT" w:cs="Calibri"/>
                <w:b/>
                <w:bCs/>
                <w:color w:val="FFFFFF" w:themeColor="background1"/>
                <w:sz w:val="24"/>
                <w:szCs w:val="24"/>
              </w:rPr>
              <w:t>oney</w:t>
            </w:r>
            <w:r w:rsidRPr="00257594">
              <w:rPr>
                <w:rFonts w:ascii="Humnst777 Lt BT" w:hAnsi="Humnst777 Lt BT" w:cs="Calibri"/>
                <w:b/>
                <w:bCs/>
                <w:color w:val="FFFFFF" w:themeColor="background1"/>
                <w:sz w:val="24"/>
                <w:szCs w:val="24"/>
              </w:rPr>
              <w:t xml:space="preserve"> reference </w:t>
            </w:r>
          </w:p>
        </w:tc>
        <w:tc>
          <w:tcPr>
            <w:tcW w:w="2126" w:type="dxa"/>
            <w:tcBorders>
              <w:top w:val="nil"/>
              <w:left w:val="nil"/>
              <w:bottom w:val="nil"/>
              <w:right w:val="nil"/>
            </w:tcBorders>
            <w:shd w:val="clear" w:color="auto" w:fill="auto"/>
            <w:hideMark/>
          </w:tcPr>
          <w:p w14:paraId="2CDA63A9" w14:textId="77777777" w:rsidR="00560722" w:rsidRPr="00257594" w:rsidRDefault="00560722" w:rsidP="00257594">
            <w:pPr>
              <w:spacing w:after="0" w:line="240" w:lineRule="auto"/>
              <w:rPr>
                <w:rFonts w:ascii="Humnst777 Lt BT" w:hAnsi="Humnst777 Lt BT" w:cs="Calibri"/>
                <w:color w:val="000000"/>
                <w:sz w:val="24"/>
                <w:szCs w:val="24"/>
              </w:rPr>
            </w:pPr>
          </w:p>
        </w:tc>
      </w:tr>
      <w:tr w:rsidR="00560722" w:rsidRPr="00257594" w14:paraId="4C381FD7" w14:textId="77777777" w:rsidTr="3BC3B835">
        <w:trPr>
          <w:trHeight w:val="855"/>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F0927CF"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Reliance on Sole Authority of the Supply and Appropriations Act for modest and temporary expenditure on a New Service </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4D4910B5"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2.5.4 &amp; Annex 2.4 </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0712C7CC"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7687A0FE"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5BD9403D" w14:textId="77777777" w:rsidTr="3BC3B835">
        <w:trPr>
          <w:trHeight w:val="285"/>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202A66C8"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lastRenderedPageBreak/>
              <w:t xml:space="preserve">Payment in advance of need </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15B5BACF"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A.4.8.5</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77CC5ADB"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75C68495"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30E7D50B" w14:textId="77777777" w:rsidTr="3BC3B835">
        <w:trPr>
          <w:trHeight w:val="285"/>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8824498"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Insurance </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788E4C4A"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Annex 4.4 </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0611A142"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6D640384"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1329A4AC" w14:textId="77777777" w:rsidTr="3BC3B835">
        <w:trPr>
          <w:trHeight w:val="1710"/>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8E4C4A9" w14:textId="6D8018DF"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Contingent Liabilities </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0B59740B"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Annex 5.4 </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01C58C03" w14:textId="54B875C4" w:rsidR="00257594" w:rsidRPr="00257594" w:rsidRDefault="00257594" w:rsidP="00257594">
            <w:pPr>
              <w:spacing w:after="0" w:line="240" w:lineRule="auto"/>
              <w:rPr>
                <w:rFonts w:ascii="Humnst777 Lt BT" w:hAnsi="Humnst777 Lt BT" w:cs="Calibri"/>
                <w:color w:val="000000"/>
                <w:sz w:val="24"/>
                <w:szCs w:val="24"/>
              </w:rPr>
            </w:pPr>
          </w:p>
        </w:tc>
        <w:tc>
          <w:tcPr>
            <w:tcW w:w="2126" w:type="dxa"/>
            <w:tcBorders>
              <w:top w:val="nil"/>
              <w:left w:val="nil"/>
              <w:bottom w:val="nil"/>
              <w:right w:val="nil"/>
            </w:tcBorders>
            <w:shd w:val="clear" w:color="auto" w:fill="auto"/>
            <w:hideMark/>
          </w:tcPr>
          <w:p w14:paraId="1299038B"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631F20B2" w14:textId="77777777" w:rsidTr="3BC3B835">
        <w:trPr>
          <w:trHeight w:val="285"/>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F9F154E"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Lending to commercial entities </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55011B5D"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Annex 5.5</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2683AA4F"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24296547"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41487C62" w14:textId="77777777" w:rsidTr="3BC3B835">
        <w:trPr>
          <w:trHeight w:val="570"/>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C362694"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Setting up of accounts outside the Government Banking Service.</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0472D469"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Annex 5.6 </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444B6F0D"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1CF01453"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20928624" w14:textId="77777777" w:rsidTr="3BC3B835">
        <w:trPr>
          <w:trHeight w:val="285"/>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4D89957"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Creation of New Public Bodies </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547F5AFF"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xml:space="preserve">Annex 7.1 </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34D2D1E9"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16CBB95B" w14:textId="77777777" w:rsidR="00257594" w:rsidRPr="00257594" w:rsidRDefault="00257594" w:rsidP="00257594">
            <w:pPr>
              <w:spacing w:after="0" w:line="240" w:lineRule="auto"/>
              <w:rPr>
                <w:rFonts w:ascii="Humnst777 Lt BT" w:hAnsi="Humnst777 Lt BT" w:cs="Calibri"/>
                <w:color w:val="000000"/>
                <w:sz w:val="24"/>
                <w:szCs w:val="24"/>
              </w:rPr>
            </w:pPr>
          </w:p>
        </w:tc>
      </w:tr>
      <w:tr w:rsidR="00560722" w:rsidRPr="00257594" w14:paraId="66DAEDA5" w14:textId="77777777" w:rsidTr="3BC3B835">
        <w:trPr>
          <w:trHeight w:val="570"/>
        </w:trPr>
        <w:tc>
          <w:tcPr>
            <w:tcW w:w="5080"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030E1C1"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Agreeing new Framework documents with ALBs</w:t>
            </w:r>
          </w:p>
        </w:tc>
        <w:tc>
          <w:tcPr>
            <w:tcW w:w="4536" w:type="dxa"/>
            <w:tcBorders>
              <w:top w:val="nil"/>
              <w:left w:val="nil"/>
              <w:bottom w:val="single" w:sz="4" w:space="0" w:color="000000" w:themeColor="text1"/>
              <w:right w:val="single" w:sz="4" w:space="0" w:color="000000" w:themeColor="text1"/>
            </w:tcBorders>
            <w:shd w:val="clear" w:color="auto" w:fill="auto"/>
            <w:hideMark/>
          </w:tcPr>
          <w:p w14:paraId="5E517850"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Annex 7.2</w:t>
            </w:r>
          </w:p>
        </w:tc>
        <w:tc>
          <w:tcPr>
            <w:tcW w:w="2127" w:type="dxa"/>
            <w:tcBorders>
              <w:top w:val="nil"/>
              <w:left w:val="nil"/>
              <w:bottom w:val="single" w:sz="4" w:space="0" w:color="000000" w:themeColor="text1"/>
              <w:right w:val="single" w:sz="4" w:space="0" w:color="000000" w:themeColor="text1"/>
            </w:tcBorders>
            <w:shd w:val="clear" w:color="auto" w:fill="auto"/>
            <w:hideMark/>
          </w:tcPr>
          <w:p w14:paraId="76816EAC" w14:textId="77777777" w:rsidR="00257594" w:rsidRPr="00257594" w:rsidRDefault="00257594" w:rsidP="00257594">
            <w:pPr>
              <w:spacing w:after="0" w:line="240" w:lineRule="auto"/>
              <w:rPr>
                <w:rFonts w:ascii="Humnst777 Lt BT" w:hAnsi="Humnst777 Lt BT" w:cs="Calibri"/>
                <w:color w:val="000000"/>
                <w:sz w:val="24"/>
                <w:szCs w:val="24"/>
              </w:rPr>
            </w:pPr>
            <w:r w:rsidRPr="00257594">
              <w:rPr>
                <w:rFonts w:ascii="Humnst777 Lt BT" w:hAnsi="Humnst777 Lt BT" w:cs="Calibri"/>
                <w:color w:val="000000"/>
                <w:sz w:val="24"/>
                <w:szCs w:val="24"/>
              </w:rPr>
              <w:t> </w:t>
            </w:r>
          </w:p>
        </w:tc>
        <w:tc>
          <w:tcPr>
            <w:tcW w:w="2126" w:type="dxa"/>
            <w:tcBorders>
              <w:top w:val="nil"/>
              <w:left w:val="nil"/>
              <w:bottom w:val="nil"/>
              <w:right w:val="nil"/>
            </w:tcBorders>
            <w:shd w:val="clear" w:color="auto" w:fill="auto"/>
            <w:hideMark/>
          </w:tcPr>
          <w:p w14:paraId="5E7FC5FA" w14:textId="77777777" w:rsidR="00257594" w:rsidRPr="00257594" w:rsidRDefault="00257594" w:rsidP="00257594">
            <w:pPr>
              <w:spacing w:after="0" w:line="240" w:lineRule="auto"/>
              <w:rPr>
                <w:rFonts w:ascii="Humnst777 Lt BT" w:hAnsi="Humnst777 Lt BT" w:cs="Calibri"/>
                <w:color w:val="000000"/>
                <w:sz w:val="24"/>
                <w:szCs w:val="24"/>
              </w:rPr>
            </w:pPr>
          </w:p>
        </w:tc>
      </w:tr>
    </w:tbl>
    <w:p w14:paraId="144ED037" w14:textId="53BF4293" w:rsidR="00257594" w:rsidRDefault="00257594" w:rsidP="00B81A3C">
      <w:pPr>
        <w:spacing w:after="0"/>
        <w:jc w:val="both"/>
        <w:rPr>
          <w:rFonts w:ascii="Humnst777 Lt BT" w:hAnsi="Humnst777 Lt BT"/>
          <w:sz w:val="24"/>
          <w:szCs w:val="24"/>
        </w:rPr>
        <w:sectPr w:rsidR="00257594" w:rsidSect="00901FA0">
          <w:pgSz w:w="16838" w:h="11906" w:orient="landscape"/>
          <w:pgMar w:top="1440" w:right="1440" w:bottom="1440" w:left="1440" w:header="709" w:footer="709" w:gutter="0"/>
          <w:cols w:space="708"/>
          <w:docGrid w:linePitch="360"/>
        </w:sectPr>
      </w:pPr>
    </w:p>
    <w:p w14:paraId="4DF37ECF" w14:textId="50628DFE" w:rsidR="008D6E5A" w:rsidRPr="007B2685" w:rsidRDefault="008D6E5A" w:rsidP="008D6E5A">
      <w:pPr>
        <w:pStyle w:val="Heading1"/>
        <w:spacing w:before="0"/>
        <w:rPr>
          <w:rFonts w:ascii="Humnst777 Lt BT" w:hAnsi="Humnst777 Lt BT"/>
          <w:sz w:val="24"/>
          <w:szCs w:val="24"/>
        </w:rPr>
      </w:pPr>
      <w:r w:rsidRPr="007B2685">
        <w:rPr>
          <w:rFonts w:ascii="Humnst777 Lt BT" w:hAnsi="Humnst777 Lt BT"/>
          <w:sz w:val="24"/>
          <w:szCs w:val="24"/>
        </w:rPr>
        <w:lastRenderedPageBreak/>
        <w:t xml:space="preserve">ANNEX </w:t>
      </w:r>
      <w:r>
        <w:rPr>
          <w:rFonts w:ascii="Humnst777 Lt BT" w:hAnsi="Humnst777 Lt BT"/>
          <w:sz w:val="24"/>
          <w:szCs w:val="24"/>
        </w:rPr>
        <w:t>B</w:t>
      </w:r>
      <w:r w:rsidRPr="007B2685">
        <w:rPr>
          <w:rFonts w:ascii="Humnst777 Lt BT" w:hAnsi="Humnst777 Lt BT"/>
          <w:sz w:val="24"/>
          <w:szCs w:val="24"/>
        </w:rPr>
        <w:t xml:space="preserve">: </w:t>
      </w:r>
      <w:r w:rsidR="00257594">
        <w:rPr>
          <w:rFonts w:ascii="Humnst777 Lt BT" w:hAnsi="Humnst777 Lt BT"/>
          <w:sz w:val="24"/>
          <w:szCs w:val="24"/>
        </w:rPr>
        <w:t xml:space="preserve">CABINET OFFICE CONTROLS </w:t>
      </w:r>
      <w:r>
        <w:rPr>
          <w:rFonts w:ascii="Humnst777 Lt BT" w:hAnsi="Humnst777 Lt BT"/>
          <w:sz w:val="24"/>
          <w:szCs w:val="24"/>
        </w:rPr>
        <w:t xml:space="preserve">  </w:t>
      </w:r>
    </w:p>
    <w:p w14:paraId="33B88B24" w14:textId="77777777" w:rsidR="00560722" w:rsidRPr="009A7F3A" w:rsidRDefault="00560722" w:rsidP="009A7F3A">
      <w:pPr>
        <w:spacing w:after="0" w:line="240" w:lineRule="auto"/>
        <w:rPr>
          <w:rFonts w:ascii="Humnst777 Lt BT" w:hAnsi="Humnst777 Lt BT" w:cs="Calibri"/>
          <w:color w:val="000000"/>
          <w:sz w:val="24"/>
          <w:szCs w:val="24"/>
        </w:rPr>
      </w:pPr>
    </w:p>
    <w:p w14:paraId="4822A8A0" w14:textId="77777777" w:rsidR="009A7F3A" w:rsidRPr="00655BA4" w:rsidRDefault="009A7F3A" w:rsidP="009A7F3A">
      <w:pPr>
        <w:rPr>
          <w:rFonts w:ascii="Humnst777 Lt BT" w:hAnsi="Humnst777 Lt BT" w:cs="Calibri"/>
          <w:color w:val="000000"/>
          <w:sz w:val="24"/>
          <w:szCs w:val="24"/>
        </w:rPr>
      </w:pPr>
      <w:r w:rsidRPr="00655BA4">
        <w:rPr>
          <w:rFonts w:ascii="Humnst777 Lt BT" w:hAnsi="Humnst777 Lt BT" w:cs="Calibri"/>
          <w:color w:val="000000"/>
          <w:sz w:val="24"/>
          <w:szCs w:val="24"/>
        </w:rPr>
        <w:t xml:space="preserve">The Cabinet Office’s policy is that there should be a presumption that spending controls apply in full to all central government organisations, and there should be no exemptions. As such, you should assume that all spend controls exemptions have been removed from all Departments and ALBs unless agreed otherwise in writing. There are few exceptions to this policy. Any exemptions must be agreed by Treasury and Cabinet Office ministers and will always be for a limited period, subject to review. </w:t>
      </w:r>
    </w:p>
    <w:p w14:paraId="7C4D222F" w14:textId="0C072E2A" w:rsidR="003316DF" w:rsidRDefault="009A7F3A" w:rsidP="009A7F3A">
      <w:pPr>
        <w:rPr>
          <w:rFonts w:ascii="Humnst777 Lt BT" w:hAnsi="Humnst777 Lt BT" w:cs="Calibri"/>
          <w:color w:val="000000"/>
          <w:sz w:val="24"/>
          <w:szCs w:val="24"/>
        </w:rPr>
      </w:pPr>
      <w:r w:rsidRPr="00655BA4">
        <w:rPr>
          <w:rFonts w:ascii="Humnst777 Lt BT" w:hAnsi="Humnst777 Lt BT" w:cs="Calibri"/>
          <w:color w:val="000000"/>
          <w:sz w:val="24"/>
          <w:szCs w:val="24"/>
        </w:rPr>
        <w:t>All controls are applied to central government classified bodies at default thresholds</w:t>
      </w:r>
      <w:r w:rsidR="003316DF">
        <w:rPr>
          <w:rFonts w:ascii="Humnst777 Lt BT" w:hAnsi="Humnst777 Lt BT" w:cs="Calibri"/>
          <w:color w:val="000000"/>
          <w:sz w:val="24"/>
          <w:szCs w:val="24"/>
        </w:rPr>
        <w:t xml:space="preserve">, </w:t>
      </w:r>
      <w:r w:rsidRPr="00655BA4">
        <w:rPr>
          <w:rFonts w:ascii="Humnst777 Lt BT" w:hAnsi="Humnst777 Lt BT" w:cs="Calibri"/>
          <w:color w:val="000000"/>
          <w:sz w:val="24"/>
          <w:szCs w:val="24"/>
        </w:rPr>
        <w:t xml:space="preserve">as per the </w:t>
      </w:r>
      <w:hyperlink r:id="rId18" w:history="1">
        <w:r w:rsidRPr="00655BA4">
          <w:rPr>
            <w:rFonts w:ascii="Humnst777 Lt BT" w:hAnsi="Humnst777 Lt BT" w:cs="Calibri"/>
            <w:color w:val="000000"/>
            <w:sz w:val="24"/>
            <w:szCs w:val="24"/>
          </w:rPr>
          <w:t>online</w:t>
        </w:r>
      </w:hyperlink>
      <w:r w:rsidRPr="00655BA4">
        <w:rPr>
          <w:rFonts w:ascii="Humnst777 Lt BT" w:hAnsi="Humnst777 Lt BT" w:cs="Calibri"/>
          <w:color w:val="000000"/>
          <w:sz w:val="24"/>
          <w:szCs w:val="24"/>
        </w:rPr>
        <w:t xml:space="preserve"> publication</w:t>
      </w:r>
      <w:r w:rsidR="003316DF">
        <w:rPr>
          <w:rFonts w:ascii="Humnst777 Lt BT" w:hAnsi="Humnst777 Lt BT" w:cs="Calibri"/>
          <w:color w:val="000000"/>
          <w:sz w:val="24"/>
          <w:szCs w:val="24"/>
        </w:rPr>
        <w:t>, and in the table below:</w:t>
      </w:r>
      <w:r w:rsidRPr="00655BA4">
        <w:rPr>
          <w:rFonts w:ascii="Humnst777 Lt BT" w:hAnsi="Humnst777 Lt BT" w:cs="Calibri"/>
          <w:color w:val="000000"/>
          <w:sz w:val="24"/>
          <w:szCs w:val="24"/>
        </w:rPr>
        <w:t xml:space="preserve"> </w:t>
      </w:r>
    </w:p>
    <w:tbl>
      <w:tblPr>
        <w:tblStyle w:val="TableGrid1"/>
        <w:tblW w:w="0" w:type="auto"/>
        <w:tblLook w:val="04A0" w:firstRow="1" w:lastRow="0" w:firstColumn="1" w:lastColumn="0" w:noHBand="0" w:noVBand="1"/>
      </w:tblPr>
      <w:tblGrid>
        <w:gridCol w:w="4531"/>
        <w:gridCol w:w="4485"/>
      </w:tblGrid>
      <w:tr w:rsidR="00E7550E" w:rsidRPr="00E7550E" w14:paraId="7DB62E8A" w14:textId="77777777" w:rsidTr="00E7550E">
        <w:tc>
          <w:tcPr>
            <w:tcW w:w="4531" w:type="dxa"/>
            <w:shd w:val="clear" w:color="auto" w:fill="808080"/>
          </w:tcPr>
          <w:p w14:paraId="0DB8017D" w14:textId="77777777" w:rsidR="00E7550E" w:rsidRPr="00E7550E" w:rsidRDefault="00E7550E" w:rsidP="00E7550E">
            <w:pPr>
              <w:spacing w:after="0" w:line="240" w:lineRule="auto"/>
              <w:jc w:val="center"/>
              <w:rPr>
                <w:b/>
              </w:rPr>
            </w:pPr>
            <w:r w:rsidRPr="00E7550E">
              <w:rPr>
                <w:b/>
                <w:color w:val="FFFFFF"/>
              </w:rPr>
              <w:t>Functional activity</w:t>
            </w:r>
          </w:p>
        </w:tc>
        <w:tc>
          <w:tcPr>
            <w:tcW w:w="4485" w:type="dxa"/>
            <w:shd w:val="clear" w:color="auto" w:fill="808080"/>
          </w:tcPr>
          <w:p w14:paraId="671DCFB5" w14:textId="77777777" w:rsidR="00E7550E" w:rsidRPr="00E7550E" w:rsidRDefault="00E7550E" w:rsidP="00E7550E">
            <w:pPr>
              <w:spacing w:after="0" w:line="240" w:lineRule="auto"/>
              <w:jc w:val="center"/>
              <w:rPr>
                <w:b/>
                <w:color w:val="FFFFFF"/>
              </w:rPr>
            </w:pPr>
            <w:r w:rsidRPr="00E7550E">
              <w:rPr>
                <w:b/>
                <w:color w:val="FFFFFF"/>
              </w:rPr>
              <w:t>Threshold</w:t>
            </w:r>
          </w:p>
        </w:tc>
      </w:tr>
      <w:tr w:rsidR="00E7550E" w:rsidRPr="00E7550E" w14:paraId="549AFFD7" w14:textId="77777777" w:rsidTr="00E7550E">
        <w:tc>
          <w:tcPr>
            <w:tcW w:w="4531" w:type="dxa"/>
          </w:tcPr>
          <w:p w14:paraId="51245187" w14:textId="77777777" w:rsidR="00E7550E" w:rsidRPr="00E7550E" w:rsidRDefault="00E7550E" w:rsidP="00E7550E">
            <w:pPr>
              <w:spacing w:after="0" w:line="240" w:lineRule="auto"/>
              <w:jc w:val="center"/>
              <w:rPr>
                <w:color w:val="000000"/>
              </w:rPr>
            </w:pPr>
            <w:r w:rsidRPr="00E7550E">
              <w:rPr>
                <w:rFonts w:eastAsia="Humnst777 Lt BT" w:cs="Humnst777 Lt BT"/>
              </w:rPr>
              <w:t>Advertising, Marketing and Communications</w:t>
            </w:r>
          </w:p>
        </w:tc>
        <w:tc>
          <w:tcPr>
            <w:tcW w:w="4485" w:type="dxa"/>
          </w:tcPr>
          <w:p w14:paraId="7958895F" w14:textId="77777777" w:rsidR="00E7550E" w:rsidRPr="00E7550E" w:rsidRDefault="00E7550E" w:rsidP="00E7550E">
            <w:pPr>
              <w:spacing w:after="0" w:line="240" w:lineRule="auto"/>
              <w:jc w:val="center"/>
              <w:rPr>
                <w:color w:val="000000"/>
              </w:rPr>
            </w:pPr>
            <w:r w:rsidRPr="00E7550E">
              <w:rPr>
                <w:color w:val="000000"/>
              </w:rPr>
              <w:t>&gt; £100k</w:t>
            </w:r>
          </w:p>
        </w:tc>
      </w:tr>
      <w:tr w:rsidR="00E7550E" w:rsidRPr="00E7550E" w14:paraId="1E793AE4" w14:textId="77777777" w:rsidTr="00E7550E">
        <w:tc>
          <w:tcPr>
            <w:tcW w:w="4531" w:type="dxa"/>
          </w:tcPr>
          <w:p w14:paraId="5955BE89" w14:textId="77777777" w:rsidR="00E7550E" w:rsidRPr="00E7550E" w:rsidRDefault="00E7550E" w:rsidP="00E7550E">
            <w:pPr>
              <w:spacing w:after="0" w:line="240" w:lineRule="auto"/>
              <w:jc w:val="center"/>
              <w:rPr>
                <w:color w:val="000000"/>
              </w:rPr>
            </w:pPr>
            <w:r w:rsidRPr="00E7550E">
              <w:rPr>
                <w:color w:val="000000"/>
              </w:rPr>
              <w:t>Commercial</w:t>
            </w:r>
          </w:p>
        </w:tc>
        <w:tc>
          <w:tcPr>
            <w:tcW w:w="4485" w:type="dxa"/>
          </w:tcPr>
          <w:p w14:paraId="497B6908" w14:textId="77777777" w:rsidR="00E7550E" w:rsidRPr="00E7550E" w:rsidRDefault="00E7550E" w:rsidP="00E7550E">
            <w:pPr>
              <w:spacing w:after="0" w:line="240" w:lineRule="auto"/>
              <w:jc w:val="center"/>
              <w:rPr>
                <w:color w:val="000000"/>
              </w:rPr>
            </w:pPr>
            <w:r w:rsidRPr="00E7550E">
              <w:rPr>
                <w:color w:val="000000"/>
              </w:rPr>
              <w:t>&gt; £10m</w:t>
            </w:r>
          </w:p>
        </w:tc>
      </w:tr>
      <w:tr w:rsidR="00E7550E" w:rsidRPr="00E7550E" w14:paraId="6C5067A6" w14:textId="77777777" w:rsidTr="00E7550E">
        <w:tc>
          <w:tcPr>
            <w:tcW w:w="4531" w:type="dxa"/>
          </w:tcPr>
          <w:p w14:paraId="2BD4EE48" w14:textId="77777777" w:rsidR="00E7550E" w:rsidRPr="00E7550E" w:rsidRDefault="00E7550E" w:rsidP="00E7550E">
            <w:pPr>
              <w:spacing w:after="0" w:line="240" w:lineRule="auto"/>
              <w:jc w:val="center"/>
              <w:rPr>
                <w:color w:val="000000"/>
              </w:rPr>
            </w:pPr>
            <w:r w:rsidRPr="00E7550E">
              <w:rPr>
                <w:rFonts w:eastAsia="Humnst777 Lt BT" w:cs="Humnst777 Lt BT"/>
              </w:rPr>
              <w:t>Consultancy and Professional Services</w:t>
            </w:r>
          </w:p>
        </w:tc>
        <w:tc>
          <w:tcPr>
            <w:tcW w:w="4485" w:type="dxa"/>
          </w:tcPr>
          <w:p w14:paraId="22C61580" w14:textId="77777777" w:rsidR="00E7550E" w:rsidRPr="00E7550E" w:rsidRDefault="00E7550E" w:rsidP="00E7550E">
            <w:pPr>
              <w:spacing w:after="0" w:line="240" w:lineRule="auto"/>
              <w:jc w:val="center"/>
              <w:rPr>
                <w:color w:val="000000"/>
              </w:rPr>
            </w:pPr>
            <w:r w:rsidRPr="00E7550E">
              <w:rPr>
                <w:color w:val="000000"/>
              </w:rPr>
              <w:t>Disclosure &gt; £120k (or &gt; 3months)</w:t>
            </w:r>
          </w:p>
          <w:p w14:paraId="2433A512" w14:textId="77777777" w:rsidR="00E7550E" w:rsidRPr="00E7550E" w:rsidRDefault="00E7550E" w:rsidP="00E7550E">
            <w:pPr>
              <w:spacing w:after="0" w:line="240" w:lineRule="auto"/>
              <w:jc w:val="center"/>
              <w:rPr>
                <w:color w:val="000000"/>
              </w:rPr>
            </w:pPr>
            <w:r w:rsidRPr="00E7550E">
              <w:rPr>
                <w:color w:val="000000"/>
              </w:rPr>
              <w:t>Approval &gt; £600k</w:t>
            </w:r>
          </w:p>
        </w:tc>
      </w:tr>
      <w:tr w:rsidR="00E7550E" w:rsidRPr="00E7550E" w14:paraId="62E8B8E1" w14:textId="77777777" w:rsidTr="00E7550E">
        <w:tc>
          <w:tcPr>
            <w:tcW w:w="4531" w:type="dxa"/>
          </w:tcPr>
          <w:p w14:paraId="63A5296A" w14:textId="77777777" w:rsidR="00E7550E" w:rsidRPr="00E7550E" w:rsidRDefault="00E7550E" w:rsidP="00E7550E">
            <w:pPr>
              <w:spacing w:after="0" w:line="240" w:lineRule="auto"/>
              <w:jc w:val="center"/>
              <w:rPr>
                <w:color w:val="000000"/>
              </w:rPr>
            </w:pPr>
            <w:r w:rsidRPr="00E7550E">
              <w:rPr>
                <w:rFonts w:eastAsia="Humnst777 Lt BT" w:cs="Humnst777 Lt BT"/>
              </w:rPr>
              <w:t>Digital and Technology, including identity assurance</w:t>
            </w:r>
          </w:p>
        </w:tc>
        <w:tc>
          <w:tcPr>
            <w:tcW w:w="4485" w:type="dxa"/>
          </w:tcPr>
          <w:p w14:paraId="5232A6BE" w14:textId="77777777" w:rsidR="00E7550E" w:rsidRPr="00E7550E" w:rsidRDefault="00E7550E" w:rsidP="00E7550E">
            <w:pPr>
              <w:spacing w:after="0" w:line="240" w:lineRule="auto"/>
              <w:jc w:val="center"/>
              <w:rPr>
                <w:color w:val="000000"/>
              </w:rPr>
            </w:pPr>
            <w:r w:rsidRPr="00E7550E">
              <w:rPr>
                <w:color w:val="000000"/>
              </w:rPr>
              <w:t>Digital &gt; £100k,</w:t>
            </w:r>
          </w:p>
          <w:p w14:paraId="7C339BB0" w14:textId="77777777" w:rsidR="00E7550E" w:rsidRPr="00E7550E" w:rsidRDefault="00E7550E" w:rsidP="00E7550E">
            <w:pPr>
              <w:spacing w:after="0" w:line="240" w:lineRule="auto"/>
              <w:jc w:val="center"/>
              <w:rPr>
                <w:color w:val="000000"/>
              </w:rPr>
            </w:pPr>
            <w:r w:rsidRPr="00E7550E">
              <w:rPr>
                <w:color w:val="000000"/>
              </w:rPr>
              <w:t>Technology &gt; £1m</w:t>
            </w:r>
          </w:p>
        </w:tc>
      </w:tr>
      <w:tr w:rsidR="00E7550E" w:rsidRPr="00E7550E" w14:paraId="597D39BF" w14:textId="77777777" w:rsidTr="00E7550E">
        <w:tc>
          <w:tcPr>
            <w:tcW w:w="4531" w:type="dxa"/>
          </w:tcPr>
          <w:p w14:paraId="15097904" w14:textId="77777777" w:rsidR="00E7550E" w:rsidRPr="00E7550E" w:rsidRDefault="00E7550E" w:rsidP="00E7550E">
            <w:pPr>
              <w:spacing w:after="0" w:line="240" w:lineRule="auto"/>
              <w:jc w:val="center"/>
              <w:rPr>
                <w:color w:val="000000"/>
              </w:rPr>
            </w:pPr>
            <w:r w:rsidRPr="00E7550E">
              <w:rPr>
                <w:rFonts w:eastAsia="Humnst777 Lt BT" w:cs="Humnst777 Lt BT"/>
              </w:rPr>
              <w:t>Grants, including advisory CGAP</w:t>
            </w:r>
          </w:p>
        </w:tc>
        <w:tc>
          <w:tcPr>
            <w:tcW w:w="4485" w:type="dxa"/>
          </w:tcPr>
          <w:p w14:paraId="277449CC" w14:textId="77777777" w:rsidR="00E7550E" w:rsidRPr="00E7550E" w:rsidRDefault="00E7550E" w:rsidP="00E7550E">
            <w:pPr>
              <w:spacing w:after="0" w:line="240" w:lineRule="auto"/>
              <w:jc w:val="center"/>
              <w:rPr>
                <w:color w:val="000000"/>
              </w:rPr>
            </w:pPr>
            <w:r w:rsidRPr="00E7550E">
              <w:rPr>
                <w:color w:val="000000"/>
              </w:rPr>
              <w:t>Manifesto-related general grants schemes (3 Tiers)</w:t>
            </w:r>
          </w:p>
          <w:p w14:paraId="333FEB8E" w14:textId="77777777" w:rsidR="00E7550E" w:rsidRPr="00E7550E" w:rsidRDefault="00E7550E" w:rsidP="00E7550E">
            <w:pPr>
              <w:numPr>
                <w:ilvl w:val="0"/>
                <w:numId w:val="25"/>
              </w:numPr>
              <w:spacing w:after="0" w:line="240" w:lineRule="auto"/>
              <w:jc w:val="center"/>
              <w:rPr>
                <w:color w:val="000000"/>
              </w:rPr>
            </w:pPr>
            <w:r w:rsidRPr="00E7550E">
              <w:rPr>
                <w:color w:val="000000"/>
              </w:rPr>
              <w:t>&gt; £100k</w:t>
            </w:r>
          </w:p>
          <w:p w14:paraId="363C7543" w14:textId="77777777" w:rsidR="00E7550E" w:rsidRPr="00E7550E" w:rsidRDefault="00E7550E" w:rsidP="00E7550E">
            <w:pPr>
              <w:numPr>
                <w:ilvl w:val="0"/>
                <w:numId w:val="25"/>
              </w:numPr>
              <w:spacing w:after="0" w:line="240" w:lineRule="auto"/>
              <w:jc w:val="center"/>
              <w:rPr>
                <w:color w:val="000000"/>
              </w:rPr>
            </w:pPr>
            <w:r w:rsidRPr="00E7550E">
              <w:rPr>
                <w:color w:val="000000"/>
              </w:rPr>
              <w:t>£100k - £10m</w:t>
            </w:r>
          </w:p>
          <w:p w14:paraId="486B5A8A" w14:textId="77777777" w:rsidR="00E7550E" w:rsidRPr="00E7550E" w:rsidRDefault="00E7550E" w:rsidP="00E7550E">
            <w:pPr>
              <w:numPr>
                <w:ilvl w:val="0"/>
                <w:numId w:val="25"/>
              </w:numPr>
              <w:spacing w:after="0" w:line="240" w:lineRule="auto"/>
              <w:jc w:val="center"/>
              <w:rPr>
                <w:color w:val="000000"/>
              </w:rPr>
            </w:pPr>
            <w:r w:rsidRPr="00E7550E">
              <w:rPr>
                <w:color w:val="000000"/>
              </w:rPr>
              <w:t>&gt; £10m</w:t>
            </w:r>
          </w:p>
        </w:tc>
      </w:tr>
      <w:tr w:rsidR="00E7550E" w:rsidRPr="00E7550E" w14:paraId="553FF4DB" w14:textId="77777777" w:rsidTr="00E7550E">
        <w:tc>
          <w:tcPr>
            <w:tcW w:w="4531" w:type="dxa"/>
          </w:tcPr>
          <w:p w14:paraId="341D3785" w14:textId="77777777" w:rsidR="00E7550E" w:rsidRPr="00E7550E" w:rsidRDefault="00E7550E" w:rsidP="00E7550E">
            <w:pPr>
              <w:spacing w:after="0" w:line="240" w:lineRule="auto"/>
              <w:jc w:val="center"/>
              <w:rPr>
                <w:color w:val="000000"/>
              </w:rPr>
            </w:pPr>
            <w:r w:rsidRPr="00E7550E">
              <w:rPr>
                <w:rFonts w:eastAsia="Humnst777 Lt BT" w:cs="Humnst777 Lt BT"/>
              </w:rPr>
              <w:t>Property</w:t>
            </w:r>
          </w:p>
        </w:tc>
        <w:tc>
          <w:tcPr>
            <w:tcW w:w="4485" w:type="dxa"/>
          </w:tcPr>
          <w:p w14:paraId="5FE7A8B4" w14:textId="77777777" w:rsidR="00E7550E" w:rsidRPr="00E7550E" w:rsidRDefault="00E7550E" w:rsidP="00E7550E">
            <w:pPr>
              <w:spacing w:after="0" w:line="240" w:lineRule="auto"/>
              <w:jc w:val="center"/>
              <w:rPr>
                <w:color w:val="000000"/>
              </w:rPr>
            </w:pPr>
            <w:r w:rsidRPr="00E7550E">
              <w:rPr>
                <w:color w:val="000000"/>
              </w:rPr>
              <w:t>Freehold acquisition / total rental lease commitment &gt; £100k</w:t>
            </w:r>
          </w:p>
        </w:tc>
      </w:tr>
      <w:tr w:rsidR="00E7550E" w:rsidRPr="00E7550E" w14:paraId="4146C119" w14:textId="77777777" w:rsidTr="00E7550E">
        <w:tc>
          <w:tcPr>
            <w:tcW w:w="4531" w:type="dxa"/>
          </w:tcPr>
          <w:p w14:paraId="11A14BE1" w14:textId="77777777" w:rsidR="00E7550E" w:rsidRPr="00E7550E" w:rsidRDefault="00E7550E" w:rsidP="00E7550E">
            <w:pPr>
              <w:spacing w:after="0" w:line="240" w:lineRule="auto"/>
              <w:jc w:val="center"/>
              <w:rPr>
                <w:color w:val="000000"/>
              </w:rPr>
            </w:pPr>
            <w:r w:rsidRPr="00E7550E">
              <w:rPr>
                <w:rFonts w:eastAsia="Humnst777 Lt BT" w:cs="Humnst777 Lt BT"/>
              </w:rPr>
              <w:t>Facilities Management</w:t>
            </w:r>
          </w:p>
        </w:tc>
        <w:tc>
          <w:tcPr>
            <w:tcW w:w="4485" w:type="dxa"/>
          </w:tcPr>
          <w:p w14:paraId="73E8B3CD" w14:textId="77777777" w:rsidR="00E7550E" w:rsidRPr="00E7550E" w:rsidRDefault="00E7550E" w:rsidP="00E7550E">
            <w:pPr>
              <w:spacing w:after="0" w:line="240" w:lineRule="auto"/>
              <w:jc w:val="center"/>
              <w:rPr>
                <w:color w:val="000000"/>
              </w:rPr>
            </w:pPr>
            <w:r w:rsidRPr="00E7550E">
              <w:rPr>
                <w:color w:val="000000"/>
              </w:rPr>
              <w:t>&gt; £500k</w:t>
            </w:r>
          </w:p>
        </w:tc>
      </w:tr>
      <w:tr w:rsidR="00E7550E" w:rsidRPr="00E7550E" w14:paraId="6ADE025A" w14:textId="77777777" w:rsidTr="00E7550E">
        <w:tc>
          <w:tcPr>
            <w:tcW w:w="4531" w:type="dxa"/>
          </w:tcPr>
          <w:p w14:paraId="526ABF36" w14:textId="77777777" w:rsidR="00E7550E" w:rsidRPr="00E7550E" w:rsidRDefault="00E7550E" w:rsidP="00E7550E">
            <w:pPr>
              <w:spacing w:after="0" w:line="240" w:lineRule="auto"/>
              <w:jc w:val="center"/>
              <w:rPr>
                <w:color w:val="000000"/>
              </w:rPr>
            </w:pPr>
            <w:r w:rsidRPr="00E7550E">
              <w:rPr>
                <w:rFonts w:eastAsia="Humnst777 Lt BT" w:cs="Humnst777 Lt BT"/>
              </w:rPr>
              <w:t>Contingent Labour</w:t>
            </w:r>
          </w:p>
        </w:tc>
        <w:tc>
          <w:tcPr>
            <w:tcW w:w="4485" w:type="dxa"/>
          </w:tcPr>
          <w:p w14:paraId="6436605E" w14:textId="77777777" w:rsidR="00E7550E" w:rsidRPr="00E7550E" w:rsidRDefault="00E7550E" w:rsidP="00E7550E">
            <w:pPr>
              <w:spacing w:after="0" w:line="240" w:lineRule="auto"/>
              <w:jc w:val="center"/>
              <w:rPr>
                <w:color w:val="000000"/>
              </w:rPr>
            </w:pPr>
            <w:r w:rsidRPr="00E7550E">
              <w:rPr>
                <w:color w:val="000000"/>
              </w:rPr>
              <w:t>Disclosure &gt; £750 (or &gt; 12months)</w:t>
            </w:r>
          </w:p>
          <w:p w14:paraId="151BE99E" w14:textId="77777777" w:rsidR="00E7550E" w:rsidRPr="00E7550E" w:rsidRDefault="00E7550E" w:rsidP="00E7550E">
            <w:pPr>
              <w:spacing w:after="0" w:line="240" w:lineRule="auto"/>
              <w:jc w:val="center"/>
              <w:rPr>
                <w:color w:val="000000"/>
              </w:rPr>
            </w:pPr>
            <w:r w:rsidRPr="00E7550E">
              <w:rPr>
                <w:color w:val="000000"/>
              </w:rPr>
              <w:t>Approval &gt; £1,000 (or 18months)</w:t>
            </w:r>
          </w:p>
        </w:tc>
      </w:tr>
      <w:tr w:rsidR="00E7550E" w:rsidRPr="00E7550E" w14:paraId="1DBA7F51" w14:textId="77777777" w:rsidTr="00E7550E">
        <w:tc>
          <w:tcPr>
            <w:tcW w:w="4531" w:type="dxa"/>
          </w:tcPr>
          <w:p w14:paraId="620D1A20" w14:textId="77777777" w:rsidR="00E7550E" w:rsidRPr="00E7550E" w:rsidRDefault="00E7550E" w:rsidP="00E7550E">
            <w:pPr>
              <w:spacing w:after="0" w:line="240" w:lineRule="auto"/>
              <w:jc w:val="center"/>
              <w:rPr>
                <w:color w:val="000000"/>
              </w:rPr>
            </w:pPr>
            <w:r w:rsidRPr="00E7550E">
              <w:rPr>
                <w:rFonts w:eastAsia="Humnst777 Lt BT" w:cs="Humnst777 Lt BT"/>
              </w:rPr>
              <w:t>Learning and Development (Civil Service Learning)</w:t>
            </w:r>
          </w:p>
        </w:tc>
        <w:tc>
          <w:tcPr>
            <w:tcW w:w="4485" w:type="dxa"/>
          </w:tcPr>
          <w:p w14:paraId="2BB018F7" w14:textId="77777777" w:rsidR="00E7550E" w:rsidRPr="00E7550E" w:rsidRDefault="00E7550E" w:rsidP="00E7550E">
            <w:pPr>
              <w:spacing w:after="0" w:line="240" w:lineRule="auto"/>
              <w:jc w:val="center"/>
              <w:rPr>
                <w:color w:val="000000"/>
              </w:rPr>
            </w:pPr>
            <w:r w:rsidRPr="00E7550E">
              <w:rPr>
                <w:color w:val="000000"/>
              </w:rPr>
              <w:t>&gt; £10k</w:t>
            </w:r>
          </w:p>
        </w:tc>
      </w:tr>
      <w:tr w:rsidR="00E7550E" w:rsidRPr="00E7550E" w14:paraId="727C4C60" w14:textId="77777777" w:rsidTr="00E7550E">
        <w:tc>
          <w:tcPr>
            <w:tcW w:w="4531" w:type="dxa"/>
          </w:tcPr>
          <w:p w14:paraId="16B31A20" w14:textId="77777777" w:rsidR="00E7550E" w:rsidRPr="00E7550E" w:rsidRDefault="00E7550E" w:rsidP="00E7550E">
            <w:pPr>
              <w:spacing w:after="0" w:line="240" w:lineRule="auto"/>
              <w:jc w:val="center"/>
              <w:rPr>
                <w:color w:val="000000"/>
              </w:rPr>
            </w:pPr>
            <w:r w:rsidRPr="00E7550E">
              <w:rPr>
                <w:rFonts w:eastAsia="Humnst777 Lt BT" w:cs="Humnst777 Lt BT"/>
              </w:rPr>
              <w:t>Redundancy and Compensation</w:t>
            </w:r>
          </w:p>
        </w:tc>
        <w:tc>
          <w:tcPr>
            <w:tcW w:w="4485" w:type="dxa"/>
          </w:tcPr>
          <w:p w14:paraId="6FFDECFA" w14:textId="77777777" w:rsidR="00E7550E" w:rsidRPr="00E7550E" w:rsidRDefault="00E7550E" w:rsidP="00E7550E">
            <w:pPr>
              <w:spacing w:after="0" w:line="240" w:lineRule="auto"/>
              <w:jc w:val="center"/>
              <w:rPr>
                <w:color w:val="000000"/>
              </w:rPr>
            </w:pPr>
            <w:r w:rsidRPr="00E7550E">
              <w:rPr>
                <w:color w:val="000000"/>
              </w:rPr>
              <w:t xml:space="preserve">All schemes and exit arrangements require approval - </w:t>
            </w:r>
          </w:p>
          <w:p w14:paraId="7B792B3A" w14:textId="77777777" w:rsidR="00E7550E" w:rsidRPr="00E7550E" w:rsidRDefault="00E7550E" w:rsidP="00E7550E">
            <w:pPr>
              <w:spacing w:after="0" w:line="240" w:lineRule="auto"/>
              <w:jc w:val="center"/>
              <w:rPr>
                <w:color w:val="000000"/>
              </w:rPr>
            </w:pPr>
            <w:r w:rsidRPr="00E7550E">
              <w:rPr>
                <w:color w:val="000000"/>
              </w:rPr>
              <w:t>Civil Service Compensation Scheme</w:t>
            </w:r>
          </w:p>
        </w:tc>
      </w:tr>
    </w:tbl>
    <w:p w14:paraId="3E06A6F5" w14:textId="77777777" w:rsidR="008D15BE" w:rsidRDefault="008D15BE" w:rsidP="009A7F3A">
      <w:pPr>
        <w:rPr>
          <w:rFonts w:ascii="Humnst777 Lt BT" w:hAnsi="Humnst777 Lt BT" w:cs="Calibri"/>
          <w:color w:val="000000"/>
          <w:sz w:val="24"/>
          <w:szCs w:val="24"/>
        </w:rPr>
      </w:pPr>
    </w:p>
    <w:p w14:paraId="2AEBA316" w14:textId="77777777" w:rsidR="00E7550E" w:rsidRDefault="00E7550E" w:rsidP="009A7F3A">
      <w:pPr>
        <w:rPr>
          <w:rFonts w:ascii="Humnst777 Lt BT" w:hAnsi="Humnst777 Lt BT" w:cs="Calibri"/>
          <w:color w:val="000000"/>
          <w:sz w:val="24"/>
          <w:szCs w:val="24"/>
        </w:rPr>
      </w:pPr>
    </w:p>
    <w:p w14:paraId="17E3029B" w14:textId="77777777" w:rsidR="00E7550E" w:rsidRDefault="00E7550E" w:rsidP="009A7F3A">
      <w:pPr>
        <w:rPr>
          <w:rFonts w:ascii="Humnst777 Lt BT" w:hAnsi="Humnst777 Lt BT" w:cs="Calibri"/>
          <w:color w:val="000000"/>
          <w:sz w:val="24"/>
          <w:szCs w:val="24"/>
        </w:rPr>
      </w:pPr>
    </w:p>
    <w:p w14:paraId="22E90988" w14:textId="77777777" w:rsidR="00E7550E" w:rsidRDefault="00E7550E" w:rsidP="009A7F3A">
      <w:pPr>
        <w:rPr>
          <w:rFonts w:ascii="Humnst777 Lt BT" w:hAnsi="Humnst777 Lt BT" w:cs="Calibri"/>
          <w:color w:val="000000"/>
          <w:sz w:val="24"/>
          <w:szCs w:val="24"/>
        </w:rPr>
      </w:pPr>
    </w:p>
    <w:p w14:paraId="0D90E4B4" w14:textId="77777777" w:rsidR="00E7550E" w:rsidRDefault="00E7550E" w:rsidP="009A7F3A">
      <w:pPr>
        <w:rPr>
          <w:rFonts w:ascii="Humnst777 Lt BT" w:hAnsi="Humnst777 Lt BT" w:cs="Calibri"/>
          <w:color w:val="000000"/>
          <w:sz w:val="24"/>
          <w:szCs w:val="24"/>
        </w:rPr>
      </w:pPr>
    </w:p>
    <w:p w14:paraId="19363F4E" w14:textId="77777777" w:rsidR="00E7550E" w:rsidRDefault="00E7550E" w:rsidP="009A7F3A">
      <w:pPr>
        <w:rPr>
          <w:rFonts w:ascii="Humnst777 Lt BT" w:hAnsi="Humnst777 Lt BT" w:cs="Calibri"/>
          <w:color w:val="000000"/>
          <w:sz w:val="24"/>
          <w:szCs w:val="24"/>
        </w:rPr>
      </w:pPr>
    </w:p>
    <w:p w14:paraId="6A10F407" w14:textId="77777777" w:rsidR="00E7550E" w:rsidRDefault="00E7550E" w:rsidP="009A7F3A">
      <w:pPr>
        <w:rPr>
          <w:rFonts w:ascii="Humnst777 Lt BT" w:hAnsi="Humnst777 Lt BT" w:cs="Calibri"/>
          <w:color w:val="000000"/>
          <w:sz w:val="24"/>
          <w:szCs w:val="24"/>
        </w:rPr>
      </w:pPr>
    </w:p>
    <w:p w14:paraId="586ECFE0" w14:textId="77777777" w:rsidR="00E7550E" w:rsidRDefault="00E7550E" w:rsidP="009A7F3A">
      <w:pPr>
        <w:rPr>
          <w:rFonts w:ascii="Humnst777 Lt BT" w:hAnsi="Humnst777 Lt BT" w:cs="Calibri"/>
          <w:color w:val="000000"/>
          <w:sz w:val="24"/>
          <w:szCs w:val="24"/>
        </w:rPr>
      </w:pPr>
    </w:p>
    <w:p w14:paraId="003C433E" w14:textId="0D4BA9CB" w:rsidR="009A7F3A" w:rsidRPr="00655BA4" w:rsidRDefault="009A7F3A" w:rsidP="009A7F3A">
      <w:pPr>
        <w:rPr>
          <w:rFonts w:ascii="Humnst777 Lt BT" w:hAnsi="Humnst777 Lt BT" w:cs="Calibri"/>
          <w:color w:val="000000"/>
          <w:sz w:val="24"/>
          <w:szCs w:val="24"/>
        </w:rPr>
      </w:pPr>
      <w:r w:rsidRPr="00655BA4">
        <w:rPr>
          <w:rFonts w:ascii="Humnst777 Lt BT" w:hAnsi="Humnst777 Lt BT" w:cs="Calibri"/>
          <w:color w:val="000000"/>
          <w:sz w:val="24"/>
          <w:szCs w:val="24"/>
        </w:rPr>
        <w:lastRenderedPageBreak/>
        <w:t xml:space="preserve">Exceptions </w:t>
      </w:r>
      <w:r w:rsidR="007E2723">
        <w:rPr>
          <w:rFonts w:ascii="Humnst777 Lt BT" w:hAnsi="Humnst777 Lt BT" w:cs="Calibri"/>
          <w:color w:val="000000"/>
          <w:sz w:val="24"/>
          <w:szCs w:val="24"/>
        </w:rPr>
        <w:t xml:space="preserve">relating to </w:t>
      </w:r>
      <w:r w:rsidR="007E2723" w:rsidRPr="00D730B7">
        <w:rPr>
          <w:rFonts w:ascii="Humnst777 Lt BT" w:eastAsiaTheme="majorEastAsia" w:hAnsi="Humnst777 Lt BT" w:cstheme="majorBidi"/>
          <w:b/>
          <w:bCs/>
          <w:color w:val="2E74B5" w:themeColor="accent1" w:themeShade="BF"/>
          <w:sz w:val="24"/>
          <w:szCs w:val="24"/>
        </w:rPr>
        <w:t>[Department</w:t>
      </w:r>
      <w:r w:rsidR="00D730B7" w:rsidRPr="00D730B7">
        <w:rPr>
          <w:rFonts w:ascii="Humnst777 Lt BT" w:eastAsiaTheme="majorEastAsia" w:hAnsi="Humnst777 Lt BT" w:cstheme="majorBidi"/>
          <w:b/>
          <w:bCs/>
          <w:color w:val="2E74B5" w:themeColor="accent1" w:themeShade="BF"/>
          <w:sz w:val="24"/>
          <w:szCs w:val="24"/>
        </w:rPr>
        <w:t xml:space="preserve"> name] </w:t>
      </w:r>
      <w:r w:rsidRPr="00655BA4">
        <w:rPr>
          <w:rFonts w:ascii="Humnst777 Lt BT" w:hAnsi="Humnst777 Lt BT" w:cs="Calibri"/>
          <w:color w:val="000000"/>
          <w:sz w:val="24"/>
          <w:szCs w:val="24"/>
        </w:rPr>
        <w:t xml:space="preserve">are shown in the table </w:t>
      </w:r>
      <w:proofErr w:type="gramStart"/>
      <w:r w:rsidRPr="00655BA4">
        <w:rPr>
          <w:rFonts w:ascii="Humnst777 Lt BT" w:hAnsi="Humnst777 Lt BT" w:cs="Calibri"/>
          <w:color w:val="000000"/>
          <w:sz w:val="24"/>
          <w:szCs w:val="24"/>
        </w:rPr>
        <w:t>below;</w:t>
      </w:r>
      <w:proofErr w:type="gramEnd"/>
    </w:p>
    <w:p w14:paraId="5FA8311F" w14:textId="77777777" w:rsidR="009A7F3A" w:rsidRPr="00655BA4" w:rsidRDefault="009A7F3A" w:rsidP="009A7F3A">
      <w:pPr>
        <w:numPr>
          <w:ilvl w:val="0"/>
          <w:numId w:val="24"/>
        </w:numPr>
        <w:spacing w:after="0"/>
        <w:rPr>
          <w:rFonts w:ascii="Humnst777 Lt BT" w:hAnsi="Humnst777 Lt BT" w:cs="Calibri"/>
          <w:color w:val="000000"/>
          <w:sz w:val="24"/>
          <w:szCs w:val="24"/>
        </w:rPr>
      </w:pPr>
      <w:r w:rsidRPr="00655BA4">
        <w:rPr>
          <w:rFonts w:ascii="Humnst777 Lt BT" w:hAnsi="Humnst777 Lt BT" w:cs="Calibri"/>
          <w:color w:val="000000"/>
          <w:sz w:val="24"/>
          <w:szCs w:val="24"/>
        </w:rPr>
        <w:t>Full Exemptions - spend controls do not apply at all</w:t>
      </w:r>
    </w:p>
    <w:p w14:paraId="52714EF2" w14:textId="77777777" w:rsidR="009A7F3A" w:rsidRPr="00655BA4" w:rsidRDefault="009A7F3A" w:rsidP="009A7F3A">
      <w:pPr>
        <w:numPr>
          <w:ilvl w:val="0"/>
          <w:numId w:val="24"/>
        </w:numPr>
        <w:spacing w:after="0"/>
        <w:rPr>
          <w:rFonts w:ascii="Humnst777 Lt BT" w:hAnsi="Humnst777 Lt BT" w:cs="Calibri"/>
          <w:color w:val="000000"/>
          <w:sz w:val="24"/>
          <w:szCs w:val="24"/>
        </w:rPr>
      </w:pPr>
      <w:r w:rsidRPr="00655BA4">
        <w:rPr>
          <w:rFonts w:ascii="Humnst777 Lt BT" w:hAnsi="Humnst777 Lt BT" w:cs="Calibri"/>
          <w:color w:val="000000"/>
          <w:sz w:val="24"/>
          <w:szCs w:val="24"/>
        </w:rPr>
        <w:t>Partial Exemptions - spend controls apply only to some functional spend</w:t>
      </w:r>
    </w:p>
    <w:p w14:paraId="5FEE8E33" w14:textId="77777777" w:rsidR="009A7F3A" w:rsidRPr="00655BA4" w:rsidRDefault="009A7F3A" w:rsidP="009A7F3A">
      <w:pPr>
        <w:numPr>
          <w:ilvl w:val="0"/>
          <w:numId w:val="24"/>
        </w:numPr>
        <w:spacing w:after="0"/>
        <w:rPr>
          <w:rFonts w:ascii="Humnst777 Lt BT" w:hAnsi="Humnst777 Lt BT" w:cs="Calibri"/>
          <w:color w:val="000000"/>
          <w:sz w:val="24"/>
          <w:szCs w:val="24"/>
        </w:rPr>
      </w:pPr>
      <w:r w:rsidRPr="00655BA4">
        <w:rPr>
          <w:rFonts w:ascii="Humnst777 Lt BT" w:hAnsi="Humnst777 Lt BT" w:cs="Calibri"/>
          <w:color w:val="000000"/>
          <w:sz w:val="24"/>
          <w:szCs w:val="24"/>
        </w:rPr>
        <w:t>Proportionate - spend controls do apply but not at default levels</w:t>
      </w:r>
    </w:p>
    <w:p w14:paraId="62E80811" w14:textId="77777777" w:rsidR="006E44C4" w:rsidRDefault="006E44C4" w:rsidP="009A7F3A">
      <w:pPr>
        <w:rPr>
          <w:rFonts w:ascii="Humnst777 Lt BT" w:hAnsi="Humnst777 Lt BT" w:cs="Calibri"/>
          <w:color w:val="000000"/>
          <w:sz w:val="24"/>
          <w:szCs w:val="24"/>
        </w:rPr>
      </w:pPr>
    </w:p>
    <w:p w14:paraId="6499EFD0" w14:textId="19EAE1E0" w:rsidR="009A7F3A" w:rsidRPr="00655BA4" w:rsidRDefault="009A7F3A" w:rsidP="009A7F3A">
      <w:pPr>
        <w:rPr>
          <w:rFonts w:ascii="Humnst777 Lt BT" w:hAnsi="Humnst777 Lt BT" w:cs="Calibri"/>
          <w:color w:val="000000"/>
          <w:sz w:val="24"/>
          <w:szCs w:val="24"/>
        </w:rPr>
      </w:pPr>
      <w:r w:rsidRPr="00655BA4">
        <w:rPr>
          <w:rFonts w:ascii="Humnst777 Lt BT" w:hAnsi="Humnst777 Lt BT" w:cs="Calibri"/>
          <w:color w:val="000000"/>
          <w:sz w:val="24"/>
          <w:szCs w:val="24"/>
        </w:rPr>
        <w:t xml:space="preserve">You must ensure compliance, raised awareness, and meaningful oversight is maintained and that all bodies have an explicit understanding of their spending controls arrangements. </w:t>
      </w:r>
    </w:p>
    <w:p w14:paraId="6F0B283A" w14:textId="1C472B1C" w:rsidR="009A7F3A" w:rsidRPr="00655BA4" w:rsidRDefault="009A7F3A" w:rsidP="009A7F3A">
      <w:pPr>
        <w:rPr>
          <w:rFonts w:ascii="Humnst777 Lt BT" w:hAnsi="Humnst777 Lt BT" w:cs="Calibri"/>
          <w:color w:val="FF0000"/>
          <w:sz w:val="24"/>
          <w:szCs w:val="24"/>
        </w:rPr>
      </w:pPr>
    </w:p>
    <w:tbl>
      <w:tblPr>
        <w:tblW w:w="9030" w:type="dxa"/>
        <w:tblBorders>
          <w:insideH w:val="nil"/>
          <w:insideV w:val="nil"/>
        </w:tblBorders>
        <w:tblLayout w:type="fixed"/>
        <w:tblLook w:val="0600" w:firstRow="0" w:lastRow="0" w:firstColumn="0" w:lastColumn="0" w:noHBand="1" w:noVBand="1"/>
      </w:tblPr>
      <w:tblGrid>
        <w:gridCol w:w="1260"/>
        <w:gridCol w:w="1426"/>
        <w:gridCol w:w="1559"/>
        <w:gridCol w:w="4785"/>
      </w:tblGrid>
      <w:tr w:rsidR="009A7F3A" w14:paraId="74F4E018" w14:textId="77777777" w:rsidTr="0063753E">
        <w:trPr>
          <w:trHeight w:val="315"/>
        </w:trPr>
        <w:tc>
          <w:tcPr>
            <w:tcW w:w="1260" w:type="dxa"/>
            <w:tcBorders>
              <w:top w:val="dotted" w:sz="6" w:space="0" w:color="000000"/>
              <w:left w:val="dotted" w:sz="6" w:space="0" w:color="000000"/>
              <w:bottom w:val="dotted" w:sz="6" w:space="0" w:color="CCCCCC"/>
              <w:right w:val="dotted" w:sz="6" w:space="0" w:color="CCCCCC"/>
            </w:tcBorders>
            <w:shd w:val="clear" w:color="auto" w:fill="7F7F7F" w:themeFill="text1" w:themeFillTint="80"/>
            <w:tcMar>
              <w:top w:w="40" w:type="dxa"/>
              <w:left w:w="40" w:type="dxa"/>
              <w:bottom w:w="40" w:type="dxa"/>
              <w:right w:w="40" w:type="dxa"/>
            </w:tcMar>
            <w:vAlign w:val="bottom"/>
            <w:hideMark/>
          </w:tcPr>
          <w:p w14:paraId="4E9BF52A" w14:textId="77777777" w:rsidR="009A7F3A" w:rsidRPr="0063753E" w:rsidRDefault="009A7F3A" w:rsidP="0063753E">
            <w:pPr>
              <w:spacing w:after="0" w:line="240" w:lineRule="auto"/>
              <w:rPr>
                <w:rFonts w:ascii="Humnst777 Lt BT" w:hAnsi="Humnst777 Lt BT" w:cs="Calibri"/>
                <w:b/>
                <w:bCs/>
                <w:color w:val="FFFFFF" w:themeColor="background1"/>
                <w:sz w:val="24"/>
                <w:szCs w:val="24"/>
              </w:rPr>
            </w:pPr>
            <w:r w:rsidRPr="0063753E">
              <w:rPr>
                <w:rFonts w:ascii="Humnst777 Lt BT" w:hAnsi="Humnst777 Lt BT" w:cs="Calibri"/>
                <w:b/>
                <w:bCs/>
                <w:color w:val="FFFFFF" w:themeColor="background1"/>
                <w:sz w:val="24"/>
                <w:szCs w:val="24"/>
              </w:rPr>
              <w:t>ALB</w:t>
            </w:r>
          </w:p>
        </w:tc>
        <w:tc>
          <w:tcPr>
            <w:tcW w:w="1426" w:type="dxa"/>
            <w:tcBorders>
              <w:top w:val="dotted" w:sz="6" w:space="0" w:color="000000"/>
              <w:left w:val="dotted" w:sz="6" w:space="0" w:color="CCCCCC"/>
              <w:bottom w:val="dotted" w:sz="6" w:space="0" w:color="CCCCCC"/>
              <w:right w:val="dotted" w:sz="6" w:space="0" w:color="CCCCCC"/>
            </w:tcBorders>
            <w:shd w:val="clear" w:color="auto" w:fill="7F7F7F" w:themeFill="text1" w:themeFillTint="80"/>
            <w:tcMar>
              <w:top w:w="40" w:type="dxa"/>
              <w:left w:w="40" w:type="dxa"/>
              <w:bottom w:w="40" w:type="dxa"/>
              <w:right w:w="40" w:type="dxa"/>
            </w:tcMar>
            <w:vAlign w:val="bottom"/>
            <w:hideMark/>
          </w:tcPr>
          <w:p w14:paraId="50191982" w14:textId="77777777" w:rsidR="009A7F3A" w:rsidRPr="0063753E" w:rsidRDefault="009A7F3A" w:rsidP="0063753E">
            <w:pPr>
              <w:spacing w:after="0" w:line="240" w:lineRule="auto"/>
              <w:rPr>
                <w:rFonts w:ascii="Humnst777 Lt BT" w:hAnsi="Humnst777 Lt BT" w:cs="Calibri"/>
                <w:b/>
                <w:bCs/>
                <w:color w:val="FFFFFF" w:themeColor="background1"/>
                <w:sz w:val="24"/>
                <w:szCs w:val="24"/>
              </w:rPr>
            </w:pPr>
            <w:r w:rsidRPr="0063753E">
              <w:rPr>
                <w:rFonts w:ascii="Humnst777 Lt BT" w:hAnsi="Humnst777 Lt BT" w:cs="Calibri"/>
                <w:b/>
                <w:bCs/>
                <w:color w:val="FFFFFF" w:themeColor="background1"/>
                <w:sz w:val="24"/>
                <w:szCs w:val="24"/>
              </w:rPr>
              <w:t>Controls arrangement</w:t>
            </w:r>
          </w:p>
        </w:tc>
        <w:tc>
          <w:tcPr>
            <w:tcW w:w="1559" w:type="dxa"/>
            <w:tcBorders>
              <w:top w:val="dotted" w:sz="6" w:space="0" w:color="000000"/>
              <w:left w:val="dotted" w:sz="6" w:space="0" w:color="CCCCCC"/>
              <w:bottom w:val="dotted" w:sz="6" w:space="0" w:color="CCCCCC"/>
              <w:right w:val="dotted" w:sz="6" w:space="0" w:color="CCCCCC"/>
            </w:tcBorders>
            <w:shd w:val="clear" w:color="auto" w:fill="7F7F7F" w:themeFill="text1" w:themeFillTint="80"/>
            <w:tcMar>
              <w:top w:w="40" w:type="dxa"/>
              <w:left w:w="40" w:type="dxa"/>
              <w:bottom w:w="40" w:type="dxa"/>
              <w:right w:w="40" w:type="dxa"/>
            </w:tcMar>
            <w:vAlign w:val="bottom"/>
            <w:hideMark/>
          </w:tcPr>
          <w:p w14:paraId="6DF4747A" w14:textId="77777777" w:rsidR="009A7F3A" w:rsidRPr="0063753E" w:rsidRDefault="009A7F3A" w:rsidP="0063753E">
            <w:pPr>
              <w:spacing w:after="0" w:line="240" w:lineRule="auto"/>
              <w:rPr>
                <w:rFonts w:ascii="Humnst777 Lt BT" w:hAnsi="Humnst777 Lt BT" w:cs="Calibri"/>
                <w:b/>
                <w:bCs/>
                <w:color w:val="FFFFFF" w:themeColor="background1"/>
                <w:sz w:val="24"/>
                <w:szCs w:val="24"/>
              </w:rPr>
            </w:pPr>
            <w:r w:rsidRPr="0063753E">
              <w:rPr>
                <w:rFonts w:ascii="Humnst777 Lt BT" w:hAnsi="Humnst777 Lt BT" w:cs="Calibri"/>
                <w:b/>
                <w:bCs/>
                <w:color w:val="FFFFFF" w:themeColor="background1"/>
                <w:sz w:val="24"/>
                <w:szCs w:val="24"/>
              </w:rPr>
              <w:t xml:space="preserve">Relevant Control </w:t>
            </w:r>
          </w:p>
        </w:tc>
        <w:tc>
          <w:tcPr>
            <w:tcW w:w="4785" w:type="dxa"/>
            <w:tcBorders>
              <w:top w:val="dotted" w:sz="6" w:space="0" w:color="000000"/>
              <w:left w:val="dotted" w:sz="6" w:space="0" w:color="CCCCCC"/>
              <w:bottom w:val="dotted" w:sz="6" w:space="0" w:color="CCCCCC"/>
              <w:right w:val="dotted" w:sz="6" w:space="0" w:color="000000"/>
            </w:tcBorders>
            <w:shd w:val="clear" w:color="auto" w:fill="7F7F7F" w:themeFill="text1" w:themeFillTint="80"/>
            <w:tcMar>
              <w:top w:w="40" w:type="dxa"/>
              <w:left w:w="40" w:type="dxa"/>
              <w:bottom w:w="40" w:type="dxa"/>
              <w:right w:w="40" w:type="dxa"/>
            </w:tcMar>
            <w:vAlign w:val="bottom"/>
            <w:hideMark/>
          </w:tcPr>
          <w:p w14:paraId="56256DDF" w14:textId="77777777" w:rsidR="009A7F3A" w:rsidRPr="0063753E" w:rsidRDefault="009A7F3A" w:rsidP="0063753E">
            <w:pPr>
              <w:spacing w:after="0" w:line="240" w:lineRule="auto"/>
              <w:rPr>
                <w:rFonts w:ascii="Humnst777 Lt BT" w:hAnsi="Humnst777 Lt BT" w:cs="Calibri"/>
                <w:b/>
                <w:bCs/>
                <w:color w:val="FFFFFF" w:themeColor="background1"/>
                <w:sz w:val="24"/>
                <w:szCs w:val="24"/>
              </w:rPr>
            </w:pPr>
            <w:r w:rsidRPr="0063753E">
              <w:rPr>
                <w:rFonts w:ascii="Humnst777 Lt BT" w:hAnsi="Humnst777 Lt BT" w:cs="Calibri"/>
                <w:b/>
                <w:bCs/>
                <w:color w:val="FFFFFF" w:themeColor="background1"/>
                <w:sz w:val="24"/>
                <w:szCs w:val="24"/>
              </w:rPr>
              <w:t>Explanation</w:t>
            </w:r>
          </w:p>
        </w:tc>
      </w:tr>
      <w:tr w:rsidR="009A7F3A" w14:paraId="0567B0EA" w14:textId="77777777" w:rsidTr="00A37901">
        <w:trPr>
          <w:trHeight w:val="448"/>
        </w:trPr>
        <w:tc>
          <w:tcPr>
            <w:tcW w:w="1260" w:type="dxa"/>
            <w:tcBorders>
              <w:top w:val="dotted" w:sz="6" w:space="0" w:color="CCCCCC"/>
              <w:left w:val="dotted" w:sz="6" w:space="0" w:color="000000"/>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714601FC" w14:textId="4D7AA5EB" w:rsidR="009A7F3A" w:rsidRPr="0063753E" w:rsidRDefault="009A7F3A" w:rsidP="001517B5">
            <w:pPr>
              <w:widowControl w:val="0"/>
              <w:rPr>
                <w:rFonts w:ascii="Humnst777 Lt BT" w:hAnsi="Humnst777 Lt BT"/>
                <w:sz w:val="20"/>
                <w:szCs w:val="20"/>
              </w:rPr>
            </w:pPr>
          </w:p>
        </w:tc>
        <w:tc>
          <w:tcPr>
            <w:tcW w:w="1426"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25C717C2" w14:textId="2C6EB9F6" w:rsidR="009A7F3A" w:rsidRPr="0063753E" w:rsidRDefault="009A7F3A" w:rsidP="001517B5">
            <w:pPr>
              <w:widowControl w:val="0"/>
              <w:rPr>
                <w:rFonts w:ascii="Humnst777 Lt BT" w:hAnsi="Humnst777 Lt BT"/>
                <w:sz w:val="20"/>
                <w:szCs w:val="20"/>
              </w:rPr>
            </w:pPr>
          </w:p>
        </w:tc>
        <w:tc>
          <w:tcPr>
            <w:tcW w:w="1559"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61E74704" w14:textId="2EE0E29E" w:rsidR="009A7F3A" w:rsidRPr="0063753E" w:rsidRDefault="009A7F3A" w:rsidP="001517B5">
            <w:pPr>
              <w:widowControl w:val="0"/>
              <w:rPr>
                <w:rFonts w:ascii="Humnst777 Lt BT" w:hAnsi="Humnst777 Lt BT"/>
                <w:sz w:val="20"/>
                <w:szCs w:val="20"/>
              </w:rPr>
            </w:pPr>
          </w:p>
        </w:tc>
        <w:tc>
          <w:tcPr>
            <w:tcW w:w="4785" w:type="dxa"/>
            <w:tcBorders>
              <w:top w:val="dotted" w:sz="6" w:space="0" w:color="CCCCCC"/>
              <w:left w:val="dotted" w:sz="6" w:space="0" w:color="CCCCCC"/>
              <w:bottom w:val="dotted" w:sz="6" w:space="0" w:color="CCCCCC"/>
              <w:right w:val="dotted" w:sz="6" w:space="0" w:color="000000"/>
            </w:tcBorders>
            <w:shd w:val="clear" w:color="auto" w:fill="FFFFFF"/>
            <w:tcMar>
              <w:top w:w="40" w:type="dxa"/>
              <w:left w:w="40" w:type="dxa"/>
              <w:bottom w:w="40" w:type="dxa"/>
              <w:right w:w="40" w:type="dxa"/>
            </w:tcMar>
            <w:vAlign w:val="bottom"/>
            <w:hideMark/>
          </w:tcPr>
          <w:p w14:paraId="009C409E" w14:textId="39F4F64A" w:rsidR="009A7F3A" w:rsidRPr="0063753E" w:rsidRDefault="009A7F3A" w:rsidP="001517B5">
            <w:pPr>
              <w:widowControl w:val="0"/>
              <w:rPr>
                <w:rFonts w:ascii="Humnst777 Lt BT" w:hAnsi="Humnst777 Lt BT"/>
                <w:sz w:val="20"/>
                <w:szCs w:val="20"/>
              </w:rPr>
            </w:pPr>
          </w:p>
        </w:tc>
      </w:tr>
      <w:tr w:rsidR="009A7F3A" w14:paraId="18F60F74" w14:textId="77777777" w:rsidTr="0063753E">
        <w:trPr>
          <w:trHeight w:val="540"/>
        </w:trPr>
        <w:tc>
          <w:tcPr>
            <w:tcW w:w="1260" w:type="dxa"/>
            <w:tcBorders>
              <w:top w:val="dotted" w:sz="6" w:space="0" w:color="CCCCCC"/>
              <w:left w:val="dotted" w:sz="6" w:space="0" w:color="000000"/>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75FAA75F" w14:textId="753C1038" w:rsidR="009A7F3A" w:rsidRPr="0063753E" w:rsidRDefault="009A7F3A" w:rsidP="001517B5">
            <w:pPr>
              <w:widowControl w:val="0"/>
              <w:rPr>
                <w:rFonts w:ascii="Humnst777 Lt BT" w:hAnsi="Humnst777 Lt BT"/>
                <w:sz w:val="20"/>
                <w:szCs w:val="20"/>
              </w:rPr>
            </w:pPr>
          </w:p>
        </w:tc>
        <w:tc>
          <w:tcPr>
            <w:tcW w:w="1426"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2BF3CCD9" w14:textId="512B82DE" w:rsidR="009A7F3A" w:rsidRPr="0063753E" w:rsidRDefault="009A7F3A" w:rsidP="001517B5">
            <w:pPr>
              <w:widowControl w:val="0"/>
              <w:rPr>
                <w:rFonts w:ascii="Humnst777 Lt BT" w:hAnsi="Humnst777 Lt BT"/>
                <w:sz w:val="20"/>
                <w:szCs w:val="20"/>
              </w:rPr>
            </w:pPr>
          </w:p>
        </w:tc>
        <w:tc>
          <w:tcPr>
            <w:tcW w:w="1559"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4306799F" w14:textId="04628F7C" w:rsidR="009A7F3A" w:rsidRPr="0063753E" w:rsidRDefault="009A7F3A" w:rsidP="001517B5">
            <w:pPr>
              <w:widowControl w:val="0"/>
              <w:rPr>
                <w:rFonts w:ascii="Humnst777 Lt BT" w:hAnsi="Humnst777 Lt BT"/>
                <w:sz w:val="20"/>
                <w:szCs w:val="20"/>
              </w:rPr>
            </w:pPr>
          </w:p>
        </w:tc>
        <w:tc>
          <w:tcPr>
            <w:tcW w:w="4785" w:type="dxa"/>
            <w:tcBorders>
              <w:top w:val="dotted" w:sz="6" w:space="0" w:color="CCCCCC"/>
              <w:left w:val="dotted" w:sz="6" w:space="0" w:color="CCCCCC"/>
              <w:bottom w:val="dotted" w:sz="6" w:space="0" w:color="CCCCCC"/>
              <w:right w:val="dotted" w:sz="6" w:space="0" w:color="000000"/>
            </w:tcBorders>
            <w:shd w:val="clear" w:color="auto" w:fill="FFFFFF"/>
            <w:tcMar>
              <w:top w:w="40" w:type="dxa"/>
              <w:left w:w="40" w:type="dxa"/>
              <w:bottom w:w="40" w:type="dxa"/>
              <w:right w:w="40" w:type="dxa"/>
            </w:tcMar>
            <w:vAlign w:val="bottom"/>
            <w:hideMark/>
          </w:tcPr>
          <w:p w14:paraId="6A74ABF7" w14:textId="509860B1" w:rsidR="009A7F3A" w:rsidRPr="0063753E" w:rsidRDefault="009A7F3A" w:rsidP="001517B5">
            <w:pPr>
              <w:widowControl w:val="0"/>
              <w:rPr>
                <w:rFonts w:ascii="Humnst777 Lt BT" w:hAnsi="Humnst777 Lt BT"/>
                <w:sz w:val="20"/>
                <w:szCs w:val="20"/>
              </w:rPr>
            </w:pPr>
          </w:p>
        </w:tc>
      </w:tr>
      <w:tr w:rsidR="009A7F3A" w14:paraId="2077DC98" w14:textId="77777777" w:rsidTr="0063753E">
        <w:trPr>
          <w:trHeight w:val="540"/>
        </w:trPr>
        <w:tc>
          <w:tcPr>
            <w:tcW w:w="1260" w:type="dxa"/>
            <w:tcBorders>
              <w:top w:val="dotted" w:sz="6" w:space="0" w:color="CCCCCC"/>
              <w:left w:val="dotted" w:sz="6" w:space="0" w:color="000000"/>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32BB9E1F" w14:textId="714D80E6" w:rsidR="009A7F3A" w:rsidRPr="0063753E" w:rsidRDefault="009A7F3A" w:rsidP="001517B5">
            <w:pPr>
              <w:widowControl w:val="0"/>
              <w:rPr>
                <w:rFonts w:ascii="Humnst777 Lt BT" w:hAnsi="Humnst777 Lt BT"/>
                <w:sz w:val="20"/>
                <w:szCs w:val="20"/>
              </w:rPr>
            </w:pPr>
          </w:p>
        </w:tc>
        <w:tc>
          <w:tcPr>
            <w:tcW w:w="1426"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62ADE1F4" w14:textId="605C54BB" w:rsidR="009A7F3A" w:rsidRPr="0063753E" w:rsidRDefault="009A7F3A" w:rsidP="001517B5">
            <w:pPr>
              <w:widowControl w:val="0"/>
              <w:rPr>
                <w:rFonts w:ascii="Humnst777 Lt BT" w:hAnsi="Humnst777 Lt BT"/>
                <w:sz w:val="20"/>
                <w:szCs w:val="20"/>
              </w:rPr>
            </w:pPr>
          </w:p>
        </w:tc>
        <w:tc>
          <w:tcPr>
            <w:tcW w:w="1559"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43C22D8D" w14:textId="458FA2C2" w:rsidR="009A7F3A" w:rsidRPr="0063753E" w:rsidRDefault="009A7F3A" w:rsidP="001517B5">
            <w:pPr>
              <w:widowControl w:val="0"/>
              <w:rPr>
                <w:rFonts w:ascii="Humnst777 Lt BT" w:hAnsi="Humnst777 Lt BT"/>
                <w:sz w:val="20"/>
                <w:szCs w:val="20"/>
              </w:rPr>
            </w:pPr>
          </w:p>
        </w:tc>
        <w:tc>
          <w:tcPr>
            <w:tcW w:w="4785" w:type="dxa"/>
            <w:tcBorders>
              <w:top w:val="dotted" w:sz="6" w:space="0" w:color="CCCCCC"/>
              <w:left w:val="dotted" w:sz="6" w:space="0" w:color="CCCCCC"/>
              <w:bottom w:val="dotted" w:sz="6" w:space="0" w:color="CCCCCC"/>
              <w:right w:val="dotted" w:sz="6" w:space="0" w:color="000000"/>
            </w:tcBorders>
            <w:shd w:val="clear" w:color="auto" w:fill="FFFFFF"/>
            <w:tcMar>
              <w:top w:w="40" w:type="dxa"/>
              <w:left w:w="40" w:type="dxa"/>
              <w:bottom w:w="40" w:type="dxa"/>
              <w:right w:w="40" w:type="dxa"/>
            </w:tcMar>
            <w:vAlign w:val="bottom"/>
            <w:hideMark/>
          </w:tcPr>
          <w:p w14:paraId="0B5A40E2" w14:textId="588710B2" w:rsidR="009A7F3A" w:rsidRPr="0063753E" w:rsidRDefault="009A7F3A" w:rsidP="001517B5">
            <w:pPr>
              <w:widowControl w:val="0"/>
              <w:rPr>
                <w:rFonts w:ascii="Humnst777 Lt BT" w:hAnsi="Humnst777 Lt BT"/>
                <w:sz w:val="20"/>
                <w:szCs w:val="20"/>
              </w:rPr>
            </w:pPr>
          </w:p>
        </w:tc>
      </w:tr>
      <w:tr w:rsidR="009A7F3A" w14:paraId="03821645" w14:textId="77777777" w:rsidTr="0063753E">
        <w:trPr>
          <w:trHeight w:val="315"/>
        </w:trPr>
        <w:tc>
          <w:tcPr>
            <w:tcW w:w="1260" w:type="dxa"/>
            <w:tcBorders>
              <w:top w:val="dotted" w:sz="6" w:space="0" w:color="CCCCCC"/>
              <w:left w:val="dotted" w:sz="6" w:space="0" w:color="000000"/>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3156796E" w14:textId="4556EC71" w:rsidR="009A7F3A" w:rsidRPr="0063753E" w:rsidRDefault="009A7F3A" w:rsidP="001517B5">
            <w:pPr>
              <w:widowControl w:val="0"/>
              <w:rPr>
                <w:rFonts w:ascii="Humnst777 Lt BT" w:hAnsi="Humnst777 Lt BT"/>
                <w:sz w:val="20"/>
                <w:szCs w:val="20"/>
              </w:rPr>
            </w:pPr>
          </w:p>
        </w:tc>
        <w:tc>
          <w:tcPr>
            <w:tcW w:w="1426"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5D7D2C01" w14:textId="5A64995C" w:rsidR="009A7F3A" w:rsidRPr="0063753E" w:rsidRDefault="009A7F3A" w:rsidP="001517B5">
            <w:pPr>
              <w:widowControl w:val="0"/>
              <w:rPr>
                <w:rFonts w:ascii="Humnst777 Lt BT" w:hAnsi="Humnst777 Lt BT"/>
                <w:sz w:val="20"/>
                <w:szCs w:val="20"/>
              </w:rPr>
            </w:pPr>
          </w:p>
        </w:tc>
        <w:tc>
          <w:tcPr>
            <w:tcW w:w="1559"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260E014D" w14:textId="24301AC5" w:rsidR="009A7F3A" w:rsidRPr="0063753E" w:rsidRDefault="009A7F3A" w:rsidP="001517B5">
            <w:pPr>
              <w:widowControl w:val="0"/>
              <w:rPr>
                <w:rFonts w:ascii="Humnst777 Lt BT" w:hAnsi="Humnst777 Lt BT"/>
                <w:sz w:val="20"/>
                <w:szCs w:val="20"/>
              </w:rPr>
            </w:pPr>
          </w:p>
        </w:tc>
        <w:tc>
          <w:tcPr>
            <w:tcW w:w="4785" w:type="dxa"/>
            <w:tcBorders>
              <w:top w:val="dotted" w:sz="6" w:space="0" w:color="CCCCCC"/>
              <w:left w:val="dotted" w:sz="6" w:space="0" w:color="CCCCCC"/>
              <w:bottom w:val="dotted" w:sz="6" w:space="0" w:color="CCCCCC"/>
              <w:right w:val="dotted" w:sz="6" w:space="0" w:color="000000"/>
            </w:tcBorders>
            <w:shd w:val="clear" w:color="auto" w:fill="FFFFFF"/>
            <w:tcMar>
              <w:top w:w="40" w:type="dxa"/>
              <w:left w:w="40" w:type="dxa"/>
              <w:bottom w:w="40" w:type="dxa"/>
              <w:right w:w="40" w:type="dxa"/>
            </w:tcMar>
            <w:vAlign w:val="bottom"/>
            <w:hideMark/>
          </w:tcPr>
          <w:p w14:paraId="02549FC6" w14:textId="35F0234D" w:rsidR="009A7F3A" w:rsidRPr="0063753E" w:rsidRDefault="009A7F3A" w:rsidP="001517B5">
            <w:pPr>
              <w:widowControl w:val="0"/>
              <w:rPr>
                <w:rFonts w:ascii="Humnst777 Lt BT" w:hAnsi="Humnst777 Lt BT"/>
                <w:sz w:val="20"/>
                <w:szCs w:val="20"/>
              </w:rPr>
            </w:pPr>
          </w:p>
        </w:tc>
      </w:tr>
      <w:tr w:rsidR="009A7F3A" w14:paraId="59F749F0" w14:textId="77777777" w:rsidTr="0063753E">
        <w:trPr>
          <w:trHeight w:val="315"/>
        </w:trPr>
        <w:tc>
          <w:tcPr>
            <w:tcW w:w="1260" w:type="dxa"/>
            <w:tcBorders>
              <w:top w:val="dotted" w:sz="6" w:space="0" w:color="CCCCCC"/>
              <w:left w:val="dotted" w:sz="6" w:space="0" w:color="000000"/>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309D1668" w14:textId="32B992AE" w:rsidR="009A7F3A" w:rsidRPr="0063753E" w:rsidRDefault="009A7F3A" w:rsidP="001517B5">
            <w:pPr>
              <w:widowControl w:val="0"/>
              <w:rPr>
                <w:rFonts w:ascii="Humnst777 Lt BT" w:hAnsi="Humnst777 Lt BT"/>
                <w:sz w:val="20"/>
                <w:szCs w:val="20"/>
              </w:rPr>
            </w:pPr>
          </w:p>
        </w:tc>
        <w:tc>
          <w:tcPr>
            <w:tcW w:w="1426"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15716D3D" w14:textId="143CD8B5" w:rsidR="009A7F3A" w:rsidRPr="0063753E" w:rsidRDefault="009A7F3A" w:rsidP="001517B5">
            <w:pPr>
              <w:widowControl w:val="0"/>
              <w:rPr>
                <w:rFonts w:ascii="Humnst777 Lt BT" w:hAnsi="Humnst777 Lt BT"/>
                <w:sz w:val="20"/>
                <w:szCs w:val="20"/>
              </w:rPr>
            </w:pPr>
          </w:p>
        </w:tc>
        <w:tc>
          <w:tcPr>
            <w:tcW w:w="1559" w:type="dxa"/>
            <w:tcBorders>
              <w:top w:val="dotted" w:sz="6" w:space="0" w:color="CCCCCC"/>
              <w:left w:val="dotted" w:sz="6" w:space="0" w:color="CCCCCC"/>
              <w:bottom w:val="dotted" w:sz="6" w:space="0" w:color="CCCCCC"/>
              <w:right w:val="dotted" w:sz="6" w:space="0" w:color="CCCCCC"/>
            </w:tcBorders>
            <w:shd w:val="clear" w:color="auto" w:fill="FFFFFF"/>
            <w:tcMar>
              <w:top w:w="40" w:type="dxa"/>
              <w:left w:w="40" w:type="dxa"/>
              <w:bottom w:w="40" w:type="dxa"/>
              <w:right w:w="40" w:type="dxa"/>
            </w:tcMar>
            <w:vAlign w:val="bottom"/>
            <w:hideMark/>
          </w:tcPr>
          <w:p w14:paraId="3B78831B" w14:textId="6267D500" w:rsidR="009A7F3A" w:rsidRPr="0063753E" w:rsidRDefault="009A7F3A" w:rsidP="001517B5">
            <w:pPr>
              <w:widowControl w:val="0"/>
              <w:rPr>
                <w:rFonts w:ascii="Humnst777 Lt BT" w:hAnsi="Humnst777 Lt BT"/>
                <w:sz w:val="20"/>
                <w:szCs w:val="20"/>
              </w:rPr>
            </w:pPr>
          </w:p>
        </w:tc>
        <w:tc>
          <w:tcPr>
            <w:tcW w:w="4785" w:type="dxa"/>
            <w:tcBorders>
              <w:top w:val="dotted" w:sz="6" w:space="0" w:color="CCCCCC"/>
              <w:left w:val="dotted" w:sz="6" w:space="0" w:color="CCCCCC"/>
              <w:bottom w:val="dotted" w:sz="6" w:space="0" w:color="CCCCCC"/>
              <w:right w:val="dotted" w:sz="6" w:space="0" w:color="000000"/>
            </w:tcBorders>
            <w:shd w:val="clear" w:color="auto" w:fill="FFFFFF"/>
            <w:tcMar>
              <w:top w:w="40" w:type="dxa"/>
              <w:left w:w="40" w:type="dxa"/>
              <w:bottom w:w="40" w:type="dxa"/>
              <w:right w:w="40" w:type="dxa"/>
            </w:tcMar>
            <w:vAlign w:val="bottom"/>
            <w:hideMark/>
          </w:tcPr>
          <w:p w14:paraId="194A7F03" w14:textId="3263B3A9" w:rsidR="009A7F3A" w:rsidRPr="0063753E" w:rsidRDefault="009A7F3A" w:rsidP="001517B5">
            <w:pPr>
              <w:widowControl w:val="0"/>
              <w:rPr>
                <w:rFonts w:ascii="Humnst777 Lt BT" w:hAnsi="Humnst777 Lt BT"/>
                <w:sz w:val="20"/>
                <w:szCs w:val="20"/>
              </w:rPr>
            </w:pPr>
          </w:p>
        </w:tc>
      </w:tr>
    </w:tbl>
    <w:p w14:paraId="7EDC70B3" w14:textId="77777777" w:rsidR="009A7F3A" w:rsidRDefault="009A7F3A" w:rsidP="009A7F3A">
      <w:pPr>
        <w:rPr>
          <w:rFonts w:ascii="Arial" w:hAnsi="Arial" w:cs="Arial"/>
        </w:rPr>
      </w:pPr>
    </w:p>
    <w:p w14:paraId="69DC6E2C" w14:textId="77777777" w:rsidR="009A7F3A" w:rsidRDefault="009A7F3A" w:rsidP="009A7F3A"/>
    <w:p w14:paraId="7BA358BB" w14:textId="77777777" w:rsidR="00D33698" w:rsidRDefault="00D33698" w:rsidP="00257594">
      <w:pPr>
        <w:rPr>
          <w:rFonts w:ascii="Humnst777 Lt BT" w:eastAsia="Calibri" w:hAnsi="Humnst777 Lt BT" w:cs="Calibri"/>
          <w:sz w:val="24"/>
          <w:szCs w:val="24"/>
        </w:rPr>
      </w:pPr>
    </w:p>
    <w:p w14:paraId="63F2AC6D" w14:textId="77777777" w:rsidR="00D33698" w:rsidRDefault="00D33698" w:rsidP="00257594">
      <w:pPr>
        <w:rPr>
          <w:rFonts w:ascii="Humnst777 Lt BT" w:eastAsia="Calibri" w:hAnsi="Humnst777 Lt BT" w:cs="Calibri"/>
          <w:sz w:val="24"/>
          <w:szCs w:val="24"/>
        </w:rPr>
      </w:pPr>
    </w:p>
    <w:p w14:paraId="60275270" w14:textId="77777777" w:rsidR="00D33698" w:rsidRPr="00257594" w:rsidRDefault="00D33698" w:rsidP="00257594">
      <w:pPr>
        <w:rPr>
          <w:rFonts w:ascii="Humnst777 Lt BT" w:eastAsia="Calibri" w:hAnsi="Humnst777 Lt BT" w:cs="Calibri"/>
          <w:sz w:val="24"/>
          <w:szCs w:val="24"/>
        </w:rPr>
      </w:pPr>
    </w:p>
    <w:p w14:paraId="2A59D52A" w14:textId="77777777" w:rsidR="002838EE" w:rsidRPr="000F4883" w:rsidRDefault="002838EE" w:rsidP="002838EE">
      <w:pPr>
        <w:spacing w:after="0"/>
        <w:jc w:val="both"/>
        <w:rPr>
          <w:rFonts w:ascii="Humnst777 Lt BT" w:hAnsi="Humnst777 Lt BT"/>
          <w:sz w:val="24"/>
          <w:szCs w:val="24"/>
        </w:rPr>
      </w:pPr>
    </w:p>
    <w:p w14:paraId="5B26C03E" w14:textId="77777777" w:rsidR="003732F3" w:rsidRPr="000F4883" w:rsidRDefault="003732F3" w:rsidP="006E41CF">
      <w:pPr>
        <w:pStyle w:val="ListParagraph"/>
        <w:spacing w:after="0"/>
        <w:ind w:left="0"/>
        <w:rPr>
          <w:rFonts w:ascii="Humnst777 Lt BT" w:hAnsi="Humnst777 Lt BT"/>
          <w:sz w:val="24"/>
          <w:szCs w:val="24"/>
        </w:rPr>
      </w:pPr>
    </w:p>
    <w:p w14:paraId="78A9E82E" w14:textId="77777777" w:rsidR="00AC56B1" w:rsidRPr="000F4883" w:rsidRDefault="00AC56B1" w:rsidP="00DB72DA">
      <w:pPr>
        <w:spacing w:after="0"/>
        <w:rPr>
          <w:rFonts w:ascii="Humnst777 Lt BT" w:hAnsi="Humnst777 Lt BT"/>
          <w:sz w:val="24"/>
          <w:szCs w:val="24"/>
        </w:rPr>
      </w:pPr>
      <w:r w:rsidRPr="000F4883">
        <w:rPr>
          <w:rFonts w:ascii="Humnst777 Lt BT" w:hAnsi="Humnst777 Lt BT"/>
          <w:sz w:val="24"/>
          <w:szCs w:val="24"/>
        </w:rPr>
        <w:br w:type="page"/>
      </w:r>
    </w:p>
    <w:p w14:paraId="293D2EDD" w14:textId="72C04FB0" w:rsidR="00AC56B1" w:rsidRPr="00C55D7E" w:rsidRDefault="008D6E5A" w:rsidP="008D6E5A">
      <w:pPr>
        <w:pStyle w:val="Heading1"/>
        <w:spacing w:before="0"/>
        <w:rPr>
          <w:rFonts w:ascii="Humnst777 Lt BT" w:hAnsi="Humnst777 Lt BT"/>
          <w:b w:val="0"/>
          <w:sz w:val="24"/>
        </w:rPr>
      </w:pPr>
      <w:r w:rsidRPr="007B2685">
        <w:rPr>
          <w:rFonts w:ascii="Humnst777 Lt BT" w:hAnsi="Humnst777 Lt BT"/>
          <w:sz w:val="24"/>
          <w:szCs w:val="24"/>
        </w:rPr>
        <w:lastRenderedPageBreak/>
        <w:t xml:space="preserve">ANNEX </w:t>
      </w:r>
      <w:r>
        <w:rPr>
          <w:rFonts w:ascii="Humnst777 Lt BT" w:hAnsi="Humnst777 Lt BT"/>
          <w:sz w:val="24"/>
          <w:szCs w:val="24"/>
        </w:rPr>
        <w:t xml:space="preserve">C: EXPLANATORY NOTE ON HM TREASURY APPROVAL IN RESPECT OF CONSOLATORY PAYMENTS </w:t>
      </w:r>
      <w:r w:rsidR="00AC56B1" w:rsidRPr="00C55D7E">
        <w:rPr>
          <w:rFonts w:ascii="Humnst777 Lt BT" w:hAnsi="Humnst777 Lt BT"/>
          <w:sz w:val="24"/>
        </w:rPr>
        <w:t xml:space="preserve"> </w:t>
      </w:r>
    </w:p>
    <w:p w14:paraId="2B3B9B65" w14:textId="77777777" w:rsidR="00AC56B1" w:rsidRPr="00C55D7E" w:rsidRDefault="00AC56B1" w:rsidP="00DB72DA">
      <w:pPr>
        <w:pStyle w:val="Default"/>
        <w:spacing w:line="276" w:lineRule="auto"/>
        <w:rPr>
          <w:rFonts w:ascii="Humnst777 Lt BT" w:hAnsi="Humnst777 Lt BT" w:cs="Humnst777 BT"/>
          <w:b/>
          <w:bCs/>
        </w:rPr>
      </w:pPr>
    </w:p>
    <w:p w14:paraId="28C533A1"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b/>
          <w:bCs/>
        </w:rPr>
        <w:t xml:space="preserve">Summary </w:t>
      </w:r>
    </w:p>
    <w:p w14:paraId="305A7B56" w14:textId="34E7E5F3" w:rsidR="00AC56B1" w:rsidRPr="00C55D7E" w:rsidRDefault="00560722" w:rsidP="00DB72DA">
      <w:pPr>
        <w:pStyle w:val="Default"/>
        <w:spacing w:line="276" w:lineRule="auto"/>
        <w:rPr>
          <w:rFonts w:ascii="Humnst777 Lt BT" w:hAnsi="Humnst777 Lt BT" w:cs="Humnst777 BT"/>
        </w:rPr>
      </w:pPr>
      <w:r>
        <w:rPr>
          <w:rFonts w:ascii="Humnst777 Lt BT" w:hAnsi="Humnst777 Lt BT" w:cs="Humnst777 BT"/>
        </w:rPr>
        <w:t xml:space="preserve">HM </w:t>
      </w:r>
      <w:r w:rsidR="00AC56B1" w:rsidRPr="00C55D7E">
        <w:rPr>
          <w:rFonts w:ascii="Humnst777 Lt BT" w:hAnsi="Humnst777 Lt BT" w:cs="Humnst777 BT"/>
        </w:rPr>
        <w:t xml:space="preserve">Treasury approval is required for any consolatory payment which is over </w:t>
      </w:r>
      <w:r w:rsidRPr="00C55D7E">
        <w:rPr>
          <w:rFonts w:ascii="Humnst777 Lt BT" w:hAnsi="Humnst777 Lt BT" w:cs="Humnst777 BT"/>
        </w:rPr>
        <w:t>£500,</w:t>
      </w:r>
      <w:r w:rsidR="00AC56B1" w:rsidRPr="00C55D7E">
        <w:rPr>
          <w:rFonts w:ascii="Humnst777 Lt BT" w:hAnsi="Humnst777 Lt BT" w:cs="Humnst777 BT"/>
        </w:rPr>
        <w:t xml:space="preserve"> or which is novel, contentious, or repercussive, or which is outside the delegated authority limit for ex-gratia payments agreed with Treasury. There are some exceptions, which are given below. </w:t>
      </w:r>
    </w:p>
    <w:p w14:paraId="1A3A4F89" w14:textId="77777777" w:rsidR="00AC56B1" w:rsidRPr="00C55D7E" w:rsidRDefault="00AC56B1" w:rsidP="00DB72DA">
      <w:pPr>
        <w:pStyle w:val="Default"/>
        <w:spacing w:line="276" w:lineRule="auto"/>
        <w:rPr>
          <w:rFonts w:ascii="Humnst777 Lt BT" w:hAnsi="Humnst777 Lt BT" w:cs="Humnst777 BT"/>
        </w:rPr>
      </w:pPr>
    </w:p>
    <w:p w14:paraId="4A0A0493"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b/>
          <w:bCs/>
        </w:rPr>
        <w:t xml:space="preserve">Definition </w:t>
      </w:r>
    </w:p>
    <w:p w14:paraId="7D5E5204"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rPr>
        <w:t xml:space="preserve">Consolatory payments are ex gratia payments made to individuals by organisations in respect of incidents which do not involve financial loss, e.g. stress, inconvenience, embarrassment etc. They are a form of special payment, as defined by </w:t>
      </w:r>
      <w:r w:rsidRPr="00560722">
        <w:rPr>
          <w:rFonts w:ascii="Humnst777 Lt BT" w:hAnsi="Humnst777 Lt BT" w:cs="Humnst777 BT"/>
          <w:i/>
          <w:iCs/>
        </w:rPr>
        <w:t>Managing Public Money</w:t>
      </w:r>
      <w:r w:rsidRPr="00C55D7E">
        <w:rPr>
          <w:rFonts w:ascii="Humnst777 Lt BT" w:hAnsi="Humnst777 Lt BT" w:cs="Humnst777 BT"/>
        </w:rPr>
        <w:t xml:space="preserve"> (annex 4.13 – Special Payments). </w:t>
      </w:r>
    </w:p>
    <w:p w14:paraId="267D62C2" w14:textId="77777777" w:rsidR="00AC56B1" w:rsidRPr="00C55D7E" w:rsidRDefault="00AC56B1" w:rsidP="00DB72DA">
      <w:pPr>
        <w:pStyle w:val="Default"/>
        <w:spacing w:line="276" w:lineRule="auto"/>
        <w:rPr>
          <w:rFonts w:ascii="Humnst777 Lt BT" w:hAnsi="Humnst777 Lt BT" w:cs="Humnst777 BT"/>
        </w:rPr>
      </w:pPr>
    </w:p>
    <w:p w14:paraId="33427755"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b/>
          <w:bCs/>
        </w:rPr>
        <w:t xml:space="preserve">Guidelines </w:t>
      </w:r>
    </w:p>
    <w:p w14:paraId="17E8BCF7" w14:textId="4B6374DF" w:rsidR="00AC56B1" w:rsidRDefault="00AC56B1" w:rsidP="00DB72DA">
      <w:pPr>
        <w:pStyle w:val="Default"/>
        <w:spacing w:line="276" w:lineRule="auto"/>
        <w:rPr>
          <w:rFonts w:ascii="Humnst777 Lt BT" w:hAnsi="Humnst777 Lt BT" w:cs="Humnst777 BT"/>
        </w:rPr>
      </w:pPr>
      <w:r w:rsidRPr="00C55D7E">
        <w:rPr>
          <w:rFonts w:ascii="Humnst777 Lt BT" w:hAnsi="Humnst777 Lt BT" w:cs="Humnst777 BT"/>
        </w:rPr>
        <w:t>Due to the size of the amounts involved, Treasury approval is not required for any payment up to £500, which is not novel, contentious</w:t>
      </w:r>
      <w:r w:rsidR="00560722">
        <w:rPr>
          <w:rFonts w:ascii="Humnst777 Lt BT" w:hAnsi="Humnst777 Lt BT" w:cs="Humnst777 BT"/>
        </w:rPr>
        <w:t>,</w:t>
      </w:r>
      <w:r w:rsidRPr="00C55D7E">
        <w:rPr>
          <w:rFonts w:ascii="Humnst777 Lt BT" w:hAnsi="Humnst777 Lt BT" w:cs="Humnst777 BT"/>
        </w:rPr>
        <w:t xml:space="preserve"> or repercussive, and which is within the delegated authority limit for ex-gratia payments. </w:t>
      </w:r>
    </w:p>
    <w:p w14:paraId="66E0D495" w14:textId="77777777" w:rsidR="00560722" w:rsidRPr="00C55D7E" w:rsidRDefault="00560722" w:rsidP="00DB72DA">
      <w:pPr>
        <w:pStyle w:val="Default"/>
        <w:spacing w:line="276" w:lineRule="auto"/>
        <w:rPr>
          <w:rFonts w:ascii="Humnst777 Lt BT" w:hAnsi="Humnst777 Lt BT" w:cs="Humnst777 BT"/>
        </w:rPr>
      </w:pPr>
    </w:p>
    <w:p w14:paraId="56A61556"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rPr>
        <w:t xml:space="preserve">Given that there is no measure of financial loss in assessing consolatory payments, any such payment over £500 is liable to be novel and contentious by its nature and as such would require Treasury approval in most cases, even if the level of payment is within the delegated authority limit for ex gratia payments for the department or agency concerned. </w:t>
      </w:r>
    </w:p>
    <w:p w14:paraId="3C8D7AA1" w14:textId="77777777" w:rsidR="00AC56B1" w:rsidRPr="00C55D7E" w:rsidRDefault="00AC56B1" w:rsidP="00DB72DA">
      <w:pPr>
        <w:pStyle w:val="Default"/>
        <w:spacing w:line="276" w:lineRule="auto"/>
        <w:rPr>
          <w:rFonts w:ascii="Humnst777 Lt BT" w:hAnsi="Humnst777 Lt BT" w:cs="Humnst777 BT"/>
        </w:rPr>
      </w:pPr>
    </w:p>
    <w:p w14:paraId="1AA64C08"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b/>
          <w:bCs/>
        </w:rPr>
        <w:t xml:space="preserve">Exceptions </w:t>
      </w:r>
    </w:p>
    <w:p w14:paraId="78BF84B4" w14:textId="77777777" w:rsidR="00AC56B1" w:rsidRPr="00C55D7E" w:rsidRDefault="00AC56B1" w:rsidP="00DB72DA">
      <w:pPr>
        <w:pStyle w:val="Default"/>
        <w:spacing w:line="276" w:lineRule="auto"/>
        <w:rPr>
          <w:rFonts w:ascii="Humnst777 Lt BT" w:hAnsi="Humnst777 Lt BT" w:cs="Humnst777 BT"/>
        </w:rPr>
      </w:pPr>
      <w:r w:rsidRPr="00C55D7E">
        <w:rPr>
          <w:rFonts w:ascii="Humnst777 Lt BT" w:hAnsi="Humnst777 Lt BT" w:cs="Humnst777 BT"/>
        </w:rPr>
        <w:t xml:space="preserve">The following exceptions to these guidelines apply </w:t>
      </w:r>
      <w:r w:rsidRPr="00C55D7E">
        <w:rPr>
          <w:rFonts w:ascii="Humnst777 Lt BT" w:hAnsi="Humnst777 Lt BT" w:cs="Humnst777 BT"/>
          <w:b/>
          <w:bCs/>
        </w:rPr>
        <w:t xml:space="preserve">if and only if </w:t>
      </w:r>
      <w:r w:rsidRPr="00C55D7E">
        <w:rPr>
          <w:rFonts w:ascii="Humnst777 Lt BT" w:hAnsi="Humnst777 Lt BT" w:cs="Humnst777 BT"/>
        </w:rPr>
        <w:t xml:space="preserve">the proposed payment is not novel, contentious or repercussive, and is within the delegated authority limit for ex gratia payments for the department or agency concerned. </w:t>
      </w:r>
    </w:p>
    <w:p w14:paraId="6652D743" w14:textId="77777777" w:rsidR="00AC56B1" w:rsidRPr="00C55D7E" w:rsidRDefault="00AC56B1" w:rsidP="00DB72DA">
      <w:pPr>
        <w:pStyle w:val="Default"/>
        <w:numPr>
          <w:ilvl w:val="0"/>
          <w:numId w:val="6"/>
        </w:numPr>
        <w:spacing w:line="276" w:lineRule="auto"/>
        <w:rPr>
          <w:rFonts w:ascii="Humnst777 Lt BT" w:hAnsi="Humnst777 Lt BT" w:cs="Humnst777 BT"/>
        </w:rPr>
      </w:pPr>
      <w:r w:rsidRPr="00C55D7E">
        <w:rPr>
          <w:rFonts w:ascii="Humnst777 Lt BT" w:hAnsi="Humnst777 Lt BT" w:cs="Humnst777 BT"/>
        </w:rPr>
        <w:t xml:space="preserve">Treasury approval is </w:t>
      </w:r>
      <w:r w:rsidRPr="00C55D7E">
        <w:rPr>
          <w:rFonts w:ascii="Humnst777 Lt BT" w:hAnsi="Humnst777 Lt BT" w:cs="Humnst777 BT"/>
          <w:b/>
          <w:bCs/>
        </w:rPr>
        <w:t xml:space="preserve">not </w:t>
      </w:r>
      <w:r w:rsidRPr="00C55D7E">
        <w:rPr>
          <w:rFonts w:ascii="Humnst777 Lt BT" w:hAnsi="Humnst777 Lt BT" w:cs="Humnst777 BT"/>
        </w:rPr>
        <w:t xml:space="preserve">required if a department is in a position to offer to settle a case which would otherwise be determined by the courts (e.g. a personal injury case), and the legal assessment is that the department is likely to lose the case and the proposed consolatory payment is less than the amount the court is likely to award. </w:t>
      </w:r>
    </w:p>
    <w:p w14:paraId="13191882" w14:textId="77777777" w:rsidR="00AC56B1" w:rsidRPr="00C55D7E" w:rsidRDefault="00AC56B1" w:rsidP="00DB72DA">
      <w:pPr>
        <w:pStyle w:val="Default"/>
        <w:numPr>
          <w:ilvl w:val="0"/>
          <w:numId w:val="6"/>
        </w:numPr>
        <w:spacing w:line="276" w:lineRule="auto"/>
        <w:rPr>
          <w:rFonts w:ascii="Humnst777 Lt BT" w:hAnsi="Humnst777 Lt BT" w:cs="Humnst777 BT"/>
        </w:rPr>
      </w:pPr>
      <w:r w:rsidRPr="00C55D7E">
        <w:rPr>
          <w:rFonts w:ascii="Humnst777 Lt BT" w:hAnsi="Humnst777 Lt BT" w:cs="Humnst777 BT"/>
        </w:rPr>
        <w:t xml:space="preserve">Treasury approval is </w:t>
      </w:r>
      <w:r w:rsidRPr="00C55D7E">
        <w:rPr>
          <w:rFonts w:ascii="Humnst777 Lt BT" w:hAnsi="Humnst777 Lt BT" w:cs="Humnst777 BT"/>
          <w:b/>
          <w:bCs/>
        </w:rPr>
        <w:t xml:space="preserve">not </w:t>
      </w:r>
      <w:r w:rsidRPr="00C55D7E">
        <w:rPr>
          <w:rFonts w:ascii="Humnst777 Lt BT" w:hAnsi="Humnst777 Lt BT" w:cs="Humnst777 BT"/>
        </w:rPr>
        <w:t xml:space="preserve">required for cases where an arbiter which has legal authority has made a recommendation for payment. The Parliamentary and Health Service Ombudsman (PHSO) is an example of such an arbiter. </w:t>
      </w:r>
    </w:p>
    <w:p w14:paraId="44CDEDAC" w14:textId="77777777" w:rsidR="00AC56B1" w:rsidRPr="00C55D7E" w:rsidRDefault="00AC56B1" w:rsidP="00DB72DA">
      <w:pPr>
        <w:pStyle w:val="Default"/>
        <w:numPr>
          <w:ilvl w:val="0"/>
          <w:numId w:val="6"/>
        </w:numPr>
        <w:spacing w:line="276" w:lineRule="auto"/>
        <w:rPr>
          <w:rFonts w:ascii="Humnst777 Lt BT" w:hAnsi="Humnst777 Lt BT" w:cs="Humnst777 BT"/>
          <w:color w:val="auto"/>
        </w:rPr>
      </w:pPr>
      <w:r w:rsidRPr="00C55D7E">
        <w:rPr>
          <w:rFonts w:ascii="Humnst777 Lt BT" w:hAnsi="Humnst777 Lt BT" w:cs="Humnst777 BT"/>
          <w:color w:val="auto"/>
        </w:rPr>
        <w:t xml:space="preserve">Treasury approval is </w:t>
      </w:r>
      <w:r w:rsidRPr="00C55D7E">
        <w:rPr>
          <w:rFonts w:ascii="Humnst777 Lt BT" w:hAnsi="Humnst777 Lt BT" w:cs="Humnst777 BT"/>
          <w:b/>
          <w:bCs/>
          <w:color w:val="auto"/>
        </w:rPr>
        <w:t xml:space="preserve">not </w:t>
      </w:r>
      <w:r w:rsidRPr="00C55D7E">
        <w:rPr>
          <w:rFonts w:ascii="Humnst777 Lt BT" w:hAnsi="Humnst777 Lt BT" w:cs="Humnst777 BT"/>
          <w:color w:val="auto"/>
        </w:rPr>
        <w:t xml:space="preserve">required if the proposed payment is above £500 but below a limit agreed bilaterally between the department and the Treasury in the context of an independent case examiner (ICE) within the department having made a formal determination of the appropriate level of compensatory payment. </w:t>
      </w:r>
    </w:p>
    <w:p w14:paraId="2B23AD09" w14:textId="77777777" w:rsidR="00AC56B1" w:rsidRPr="00C55D7E" w:rsidRDefault="00AC56B1" w:rsidP="00DB72DA">
      <w:pPr>
        <w:pStyle w:val="Default"/>
        <w:spacing w:line="276" w:lineRule="auto"/>
        <w:rPr>
          <w:rFonts w:ascii="Humnst777 Lt BT" w:hAnsi="Humnst777 Lt BT" w:cs="Humnst777 BT"/>
          <w:color w:val="auto"/>
        </w:rPr>
      </w:pPr>
      <w:r w:rsidRPr="00C55D7E">
        <w:rPr>
          <w:rFonts w:ascii="Humnst777 Lt BT" w:hAnsi="Humnst777 Lt BT" w:cs="Humnst777 BT"/>
          <w:color w:val="auto"/>
        </w:rPr>
        <w:lastRenderedPageBreak/>
        <w:t xml:space="preserve">An example of this is the Department for Work and Pensions, which has an ICE which carries out this role. The Treasury has agreed a threshold of £1,000 with the Department for consolatory payments assessed by the ICE. </w:t>
      </w:r>
    </w:p>
    <w:p w14:paraId="12B20C09" w14:textId="77777777" w:rsidR="00AC56B1" w:rsidRPr="00C55D7E" w:rsidRDefault="00AC56B1" w:rsidP="00DB72DA">
      <w:pPr>
        <w:pStyle w:val="Default"/>
        <w:spacing w:line="276" w:lineRule="auto"/>
        <w:rPr>
          <w:rFonts w:ascii="Humnst777 Lt BT" w:hAnsi="Humnst777 Lt BT" w:cs="Humnst777 BT"/>
          <w:color w:val="auto"/>
        </w:rPr>
      </w:pPr>
    </w:p>
    <w:p w14:paraId="53847FF9" w14:textId="77777777" w:rsidR="00AC56B1" w:rsidRPr="00C55D7E" w:rsidRDefault="00AC56B1" w:rsidP="00DB72DA">
      <w:pPr>
        <w:pStyle w:val="Default"/>
        <w:spacing w:line="276" w:lineRule="auto"/>
        <w:rPr>
          <w:rFonts w:ascii="Humnst777 Lt BT" w:hAnsi="Humnst777 Lt BT" w:cs="Humnst777 BT"/>
          <w:color w:val="auto"/>
        </w:rPr>
      </w:pPr>
      <w:r w:rsidRPr="00C55D7E">
        <w:rPr>
          <w:rFonts w:ascii="Humnst777 Lt BT" w:hAnsi="Humnst777 Lt BT" w:cs="Humnst777 BT"/>
          <w:b/>
          <w:bCs/>
          <w:color w:val="auto"/>
        </w:rPr>
        <w:t xml:space="preserve">Process </w:t>
      </w:r>
    </w:p>
    <w:p w14:paraId="1D2E50F8" w14:textId="77777777" w:rsidR="00AC56B1" w:rsidRPr="00C55D7E" w:rsidRDefault="00AC56B1" w:rsidP="00DB72DA">
      <w:pPr>
        <w:pStyle w:val="Default"/>
        <w:spacing w:line="276" w:lineRule="auto"/>
        <w:rPr>
          <w:rFonts w:ascii="Humnst777 Lt BT" w:hAnsi="Humnst777 Lt BT" w:cs="Humnst777 BT"/>
          <w:color w:val="auto"/>
        </w:rPr>
      </w:pPr>
      <w:r w:rsidRPr="00C55D7E">
        <w:rPr>
          <w:rFonts w:ascii="Humnst777 Lt BT" w:hAnsi="Humnst777 Lt BT" w:cs="Humnst777 BT"/>
          <w:color w:val="auto"/>
        </w:rPr>
        <w:t xml:space="preserve">Submissions for Treasury approval in respect of consolatory payments should be made through the usual departmental contacts in Treasury spending teams, who will, as appropriate, consult the Treasury Officer of Accounts team (TOA). </w:t>
      </w:r>
    </w:p>
    <w:p w14:paraId="14E507F2" w14:textId="77777777" w:rsidR="00AC56B1" w:rsidRPr="00C55D7E" w:rsidRDefault="00AC56B1" w:rsidP="00DB72DA">
      <w:pPr>
        <w:pStyle w:val="Default"/>
        <w:spacing w:line="276" w:lineRule="auto"/>
        <w:rPr>
          <w:rFonts w:ascii="Humnst777 Lt BT" w:hAnsi="Humnst777 Lt BT" w:cs="Humnst777 BT"/>
          <w:color w:val="auto"/>
        </w:rPr>
      </w:pPr>
      <w:r w:rsidRPr="00C55D7E">
        <w:rPr>
          <w:rFonts w:ascii="Humnst777 Lt BT" w:hAnsi="Humnst777 Lt BT" w:cs="Humnst777 BT"/>
          <w:color w:val="auto"/>
        </w:rPr>
        <w:t xml:space="preserve">We would normally expect a fairly short business case, setting out the circumstances of the maladministration, the level of payment proposed, and justification for the level of payment. </w:t>
      </w:r>
    </w:p>
    <w:p w14:paraId="316E9E30" w14:textId="77777777" w:rsidR="00AC56B1" w:rsidRPr="00C55D7E" w:rsidRDefault="00AC56B1" w:rsidP="00DB72DA">
      <w:pPr>
        <w:pStyle w:val="Default"/>
        <w:spacing w:line="276" w:lineRule="auto"/>
        <w:rPr>
          <w:rFonts w:ascii="Humnst777 Lt BT" w:hAnsi="Humnst777 Lt BT" w:cs="Humnst777 BT"/>
          <w:color w:val="auto"/>
        </w:rPr>
      </w:pPr>
    </w:p>
    <w:p w14:paraId="7BB77804" w14:textId="77777777" w:rsidR="00AC56B1" w:rsidRPr="00C55D7E" w:rsidRDefault="00AC56B1" w:rsidP="00DB72DA">
      <w:pPr>
        <w:pStyle w:val="Default"/>
        <w:spacing w:line="276" w:lineRule="auto"/>
        <w:rPr>
          <w:rFonts w:ascii="Humnst777 Lt BT" w:hAnsi="Humnst777 Lt BT" w:cs="Humnst777 BT"/>
          <w:color w:val="auto"/>
        </w:rPr>
      </w:pPr>
      <w:r w:rsidRPr="00C55D7E">
        <w:rPr>
          <w:rFonts w:ascii="Humnst777 Lt BT" w:hAnsi="Humnst777 Lt BT" w:cs="Humnst777 BT"/>
          <w:b/>
          <w:bCs/>
          <w:color w:val="auto"/>
        </w:rPr>
        <w:t xml:space="preserve">Principles </w:t>
      </w:r>
    </w:p>
    <w:p w14:paraId="488436D3" w14:textId="77777777" w:rsidR="00AC56B1" w:rsidRPr="00C55D7E" w:rsidRDefault="00AC56B1" w:rsidP="00DB72DA">
      <w:pPr>
        <w:pStyle w:val="Default"/>
        <w:spacing w:line="276" w:lineRule="auto"/>
        <w:rPr>
          <w:rFonts w:ascii="Humnst777 Lt BT" w:hAnsi="Humnst777 Lt BT" w:cs="Humnst777 BT"/>
          <w:color w:val="auto"/>
        </w:rPr>
      </w:pPr>
      <w:r w:rsidRPr="00C55D7E">
        <w:rPr>
          <w:rFonts w:ascii="Humnst777 Lt BT" w:hAnsi="Humnst777 Lt BT" w:cs="Humnst777 BT"/>
          <w:color w:val="auto"/>
        </w:rPr>
        <w:t xml:space="preserve">Given the absence of measurable financial loss in such cases, the Treasury seeks to strike a balance between ensuring appropriate levels of scrutiny and avoiding disproportionately heavy clearance procedures for very low value cases. </w:t>
      </w:r>
    </w:p>
    <w:p w14:paraId="133822C8" w14:textId="77777777" w:rsidR="00AC56B1" w:rsidRPr="00C55D7E" w:rsidRDefault="00AC56B1" w:rsidP="00DB72DA">
      <w:pPr>
        <w:spacing w:after="0"/>
        <w:rPr>
          <w:rFonts w:ascii="Humnst777 Lt BT" w:hAnsi="Humnst777 Lt BT"/>
          <w:sz w:val="24"/>
        </w:rPr>
      </w:pPr>
      <w:r w:rsidRPr="00C55D7E">
        <w:rPr>
          <w:rFonts w:ascii="Humnst777 Lt BT" w:hAnsi="Humnst777 Lt BT" w:cs="Humnst777 BT"/>
          <w:sz w:val="24"/>
        </w:rPr>
        <w:t>In accordance with Managing Public Money, Treasury approval is required for any payment which is novel, contentious or repercussive, or which is outside the delegated authority limit for ex gratia payments agreed with Treasury.</w:t>
      </w:r>
    </w:p>
    <w:p w14:paraId="16957D64" w14:textId="1875C7B0" w:rsidR="00D06DB0" w:rsidRPr="007B2685" w:rsidRDefault="00D06DB0" w:rsidP="006E41CF">
      <w:pPr>
        <w:spacing w:after="0"/>
        <w:rPr>
          <w:rFonts w:ascii="Humnst777 Lt BT" w:hAnsi="Humnst777 Lt BT"/>
          <w:sz w:val="24"/>
          <w:szCs w:val="24"/>
          <w:highlight w:val="yellow"/>
        </w:rPr>
      </w:pPr>
    </w:p>
    <w:sectPr w:rsidR="00D06DB0" w:rsidRPr="007B26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8D87" w14:textId="77777777" w:rsidR="00ED6B95" w:rsidRDefault="00ED6B95" w:rsidP="00AC56B1">
      <w:pPr>
        <w:spacing w:after="0" w:line="240" w:lineRule="auto"/>
      </w:pPr>
      <w:r>
        <w:separator/>
      </w:r>
    </w:p>
  </w:endnote>
  <w:endnote w:type="continuationSeparator" w:id="0">
    <w:p w14:paraId="42953F21" w14:textId="77777777" w:rsidR="00ED6B95" w:rsidRDefault="00ED6B95" w:rsidP="00AC56B1">
      <w:pPr>
        <w:spacing w:after="0" w:line="240" w:lineRule="auto"/>
      </w:pPr>
      <w:r>
        <w:continuationSeparator/>
      </w:r>
    </w:p>
  </w:endnote>
  <w:endnote w:type="continuationNotice" w:id="1">
    <w:p w14:paraId="0EC1324F" w14:textId="77777777" w:rsidR="00ED6B95" w:rsidRDefault="00ED6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umnst777 Lt BT">
    <w:altName w:val="Calibri"/>
    <w:panose1 w:val="020B040203050402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Humnst777 BT">
    <w:panose1 w:val="020B0603030504020204"/>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6DD" w14:textId="77777777" w:rsidR="00AF5D40" w:rsidRDefault="00AF5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134306"/>
      <w:docPartObj>
        <w:docPartGallery w:val="Page Numbers (Bottom of Page)"/>
        <w:docPartUnique/>
      </w:docPartObj>
    </w:sdtPr>
    <w:sdtEndPr>
      <w:rPr>
        <w:noProof/>
      </w:rPr>
    </w:sdtEndPr>
    <w:sdtContent>
      <w:p w14:paraId="4912C074" w14:textId="7DCC5DB9" w:rsidR="00B81A3C" w:rsidRDefault="00B81A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6DF2FC" w14:textId="77777777" w:rsidR="00B81A3C" w:rsidRDefault="00B81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8A3" w14:textId="77777777" w:rsidR="00AF5D40" w:rsidRDefault="00AF5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62CC" w14:textId="77777777" w:rsidR="00ED6B95" w:rsidRDefault="00ED6B95" w:rsidP="00AC56B1">
      <w:pPr>
        <w:spacing w:after="0" w:line="240" w:lineRule="auto"/>
      </w:pPr>
      <w:r>
        <w:separator/>
      </w:r>
    </w:p>
  </w:footnote>
  <w:footnote w:type="continuationSeparator" w:id="0">
    <w:p w14:paraId="3D1BC88D" w14:textId="77777777" w:rsidR="00ED6B95" w:rsidRDefault="00ED6B95" w:rsidP="00AC56B1">
      <w:pPr>
        <w:spacing w:after="0" w:line="240" w:lineRule="auto"/>
      </w:pPr>
      <w:r>
        <w:continuationSeparator/>
      </w:r>
    </w:p>
  </w:footnote>
  <w:footnote w:type="continuationNotice" w:id="1">
    <w:p w14:paraId="390FD83E" w14:textId="77777777" w:rsidR="00ED6B95" w:rsidRDefault="00ED6B95">
      <w:pPr>
        <w:spacing w:after="0" w:line="240" w:lineRule="auto"/>
      </w:pPr>
    </w:p>
  </w:footnote>
  <w:footnote w:id="2">
    <w:p w14:paraId="26A2D10E" w14:textId="77777777" w:rsidR="00592DB9" w:rsidRDefault="00592DB9" w:rsidP="00592DB9">
      <w:pPr>
        <w:spacing w:line="240" w:lineRule="auto"/>
        <w:rPr>
          <w:rFonts w:ascii="Humnst777 Lt BT" w:eastAsia="Humnst777 Lt BT" w:hAnsi="Humnst777 Lt BT" w:cs="Humnst777 Lt BT"/>
          <w:sz w:val="20"/>
          <w:szCs w:val="20"/>
        </w:rPr>
      </w:pPr>
      <w:r>
        <w:rPr>
          <w:vertAlign w:val="superscript"/>
        </w:rPr>
        <w:footnoteRef/>
      </w:r>
      <w:r>
        <w:rPr>
          <w:rFonts w:ascii="Humnst777 Lt BT" w:eastAsia="Humnst777 Lt BT" w:hAnsi="Humnst777 Lt BT" w:cs="Humnst777 Lt BT"/>
          <w:sz w:val="20"/>
          <w:szCs w:val="20"/>
        </w:rPr>
        <w:t xml:space="preserve"> Detailed guidance is available at: </w:t>
      </w:r>
      <w:hyperlink r:id="rId1" w:history="1">
        <w:r>
          <w:rPr>
            <w:rStyle w:val="Hyperlink"/>
            <w:rFonts w:ascii="Humnst777 Lt BT" w:eastAsia="Humnst777 Lt BT" w:hAnsi="Humnst777 Lt BT" w:cs="Humnst777 Lt BT"/>
            <w:sz w:val="20"/>
            <w:szCs w:val="20"/>
          </w:rPr>
          <w:t>https://www.gov.uk/government/publications/civil-service-settlement-agreements-special-severance-payments-and-confidentiality-clauses</w:t>
        </w:r>
      </w:hyperlink>
      <w:r>
        <w:rPr>
          <w:rFonts w:ascii="Humnst777 Lt BT" w:eastAsia="Humnst777 Lt BT" w:hAnsi="Humnst777 Lt BT" w:cs="Humnst777 Lt BT"/>
          <w:sz w:val="20"/>
          <w:szCs w:val="20"/>
        </w:rPr>
        <w:t xml:space="preserve">; further information on disclosure may be found within the Government Financial Reporting Manual (FReM) Clause 3.2.12d, available at: </w:t>
      </w:r>
      <w:hyperlink r:id="rId2" w:history="1">
        <w:r>
          <w:rPr>
            <w:rStyle w:val="Hyperlink"/>
            <w:rFonts w:ascii="Humnst777 Lt BT" w:eastAsia="Humnst777 Lt BT" w:hAnsi="Humnst777 Lt BT" w:cs="Humnst777 Lt BT"/>
            <w:sz w:val="20"/>
            <w:szCs w:val="20"/>
          </w:rPr>
          <w:t>https://www.gov.uk/government/publications/government-financial-reporting-manual</w:t>
        </w:r>
      </w:hyperlink>
      <w:r>
        <w:rPr>
          <w:rFonts w:ascii="Humnst777 Lt BT" w:eastAsia="Humnst777 Lt BT" w:hAnsi="Humnst777 Lt BT" w:cs="Humnst777 Lt BT"/>
          <w:sz w:val="20"/>
          <w:szCs w:val="20"/>
        </w:rPr>
        <w:t>.</w:t>
      </w:r>
    </w:p>
  </w:footnote>
  <w:footnote w:id="3">
    <w:p w14:paraId="21D9E43F" w14:textId="2389BF3E" w:rsidR="003555D3" w:rsidRDefault="003555D3">
      <w:pPr>
        <w:pStyle w:val="FootnoteText"/>
      </w:pPr>
      <w:r>
        <w:rPr>
          <w:rStyle w:val="FootnoteReference"/>
        </w:rPr>
        <w:footnoteRef/>
      </w:r>
      <w:r>
        <w:t xml:space="preserve"> </w:t>
      </w:r>
      <w:hyperlink r:id="rId3" w:history="1">
        <w:r w:rsidRPr="00C43B73">
          <w:rPr>
            <w:rStyle w:val="Hyperlink"/>
          </w:rPr>
          <w:t>https://www.gov.uk/government/publications/contingent-liability-approval-framework</w:t>
        </w:r>
      </w:hyperlink>
      <w:r>
        <w:t xml:space="preserve"> </w:t>
      </w:r>
    </w:p>
  </w:footnote>
  <w:footnote w:id="4">
    <w:p w14:paraId="17590CF9" w14:textId="4A5EA032" w:rsidR="00C321D4" w:rsidRDefault="00C321D4">
      <w:pPr>
        <w:pStyle w:val="FootnoteText"/>
      </w:pPr>
      <w:r>
        <w:rPr>
          <w:rStyle w:val="FootnoteReference"/>
        </w:rPr>
        <w:footnoteRef/>
      </w:r>
      <w:r>
        <w:t xml:space="preserve"> Includes loans and contingent liabilities such as indemnities and guarantees. See “Contingent Liabilities” on page seven for full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444C" w14:textId="77777777" w:rsidR="00AF5D40" w:rsidRDefault="00AF5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646D" w14:textId="77777777" w:rsidR="00AF5D40" w:rsidRDefault="00AF5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71FC" w14:textId="77777777" w:rsidR="00AF5D40" w:rsidRDefault="00AF5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E1D"/>
    <w:multiLevelType w:val="hybridMultilevel"/>
    <w:tmpl w:val="10364246"/>
    <w:lvl w:ilvl="0" w:tplc="3DC8AD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25066"/>
    <w:multiLevelType w:val="multilevel"/>
    <w:tmpl w:val="512A37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C93908"/>
    <w:multiLevelType w:val="hybridMultilevel"/>
    <w:tmpl w:val="2DC8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8A1376"/>
    <w:multiLevelType w:val="hybridMultilevel"/>
    <w:tmpl w:val="B92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154EF"/>
    <w:multiLevelType w:val="hybridMultilevel"/>
    <w:tmpl w:val="F412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45D62"/>
    <w:multiLevelType w:val="hybridMultilevel"/>
    <w:tmpl w:val="8D9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86823"/>
    <w:multiLevelType w:val="hybridMultilevel"/>
    <w:tmpl w:val="8FC2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45067"/>
    <w:multiLevelType w:val="hybridMultilevel"/>
    <w:tmpl w:val="A2ECAE2E"/>
    <w:lvl w:ilvl="0" w:tplc="5092453C">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827DE7"/>
    <w:multiLevelType w:val="multilevel"/>
    <w:tmpl w:val="BBE6DF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FB32FAC"/>
    <w:multiLevelType w:val="hybridMultilevel"/>
    <w:tmpl w:val="4106E652"/>
    <w:lvl w:ilvl="0" w:tplc="08090001">
      <w:start w:val="1"/>
      <w:numFmt w:val="bullet"/>
      <w:lvlText w:val=""/>
      <w:lvlJc w:val="left"/>
      <w:pPr>
        <w:ind w:left="1395" w:hanging="675"/>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14D12"/>
    <w:multiLevelType w:val="hybridMultilevel"/>
    <w:tmpl w:val="EF983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052374"/>
    <w:multiLevelType w:val="hybridMultilevel"/>
    <w:tmpl w:val="C402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877E6"/>
    <w:multiLevelType w:val="hybridMultilevel"/>
    <w:tmpl w:val="EC3E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21E5A"/>
    <w:multiLevelType w:val="hybridMultilevel"/>
    <w:tmpl w:val="52FAD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5C6FA4"/>
    <w:multiLevelType w:val="hybridMultilevel"/>
    <w:tmpl w:val="71A6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03098"/>
    <w:multiLevelType w:val="multilevel"/>
    <w:tmpl w:val="E60604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92F789D"/>
    <w:multiLevelType w:val="hybridMultilevel"/>
    <w:tmpl w:val="D748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42749"/>
    <w:multiLevelType w:val="hybridMultilevel"/>
    <w:tmpl w:val="B678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A63C5"/>
    <w:multiLevelType w:val="hybridMultilevel"/>
    <w:tmpl w:val="AC52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00474"/>
    <w:multiLevelType w:val="hybridMultilevel"/>
    <w:tmpl w:val="F53A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551A2"/>
    <w:multiLevelType w:val="multilevel"/>
    <w:tmpl w:val="E49823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6B41A4C"/>
    <w:multiLevelType w:val="hybridMultilevel"/>
    <w:tmpl w:val="254C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
  </w:num>
  <w:num w:numId="4">
    <w:abstractNumId w:val="3"/>
  </w:num>
  <w:num w:numId="5">
    <w:abstractNumId w:val="11"/>
  </w:num>
  <w:num w:numId="6">
    <w:abstractNumId w:val="17"/>
  </w:num>
  <w:num w:numId="7">
    <w:abstractNumId w:val="5"/>
  </w:num>
  <w:num w:numId="8">
    <w:abstractNumId w:val="18"/>
  </w:num>
  <w:num w:numId="9">
    <w:abstractNumId w:val="21"/>
  </w:num>
  <w:num w:numId="10">
    <w:abstractNumId w:val="12"/>
  </w:num>
  <w:num w:numId="11">
    <w:abstractNumId w:val="6"/>
  </w:num>
  <w:num w:numId="12">
    <w:abstractNumId w:val="2"/>
  </w:num>
  <w:num w:numId="13">
    <w:abstractNumId w:val="5"/>
  </w:num>
  <w:num w:numId="14">
    <w:abstractNumId w:val="17"/>
  </w:num>
  <w:num w:numId="15">
    <w:abstractNumId w:val="17"/>
  </w:num>
  <w:num w:numId="16">
    <w:abstractNumId w:val="13"/>
  </w:num>
  <w:num w:numId="17">
    <w:abstractNumId w:val="10"/>
  </w:num>
  <w:num w:numId="18">
    <w:abstractNumId w:val="9"/>
  </w:num>
  <w:num w:numId="19">
    <w:abstractNumId w:val="14"/>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F3"/>
    <w:rsid w:val="00014990"/>
    <w:rsid w:val="000151F2"/>
    <w:rsid w:val="000155A2"/>
    <w:rsid w:val="00022A5D"/>
    <w:rsid w:val="00034D79"/>
    <w:rsid w:val="00034F6E"/>
    <w:rsid w:val="00036B2D"/>
    <w:rsid w:val="0004526A"/>
    <w:rsid w:val="00046E15"/>
    <w:rsid w:val="000573F7"/>
    <w:rsid w:val="000666F1"/>
    <w:rsid w:val="00083472"/>
    <w:rsid w:val="000864AA"/>
    <w:rsid w:val="000A211D"/>
    <w:rsid w:val="000B5CB2"/>
    <w:rsid w:val="000B62A8"/>
    <w:rsid w:val="000C29E4"/>
    <w:rsid w:val="000C3193"/>
    <w:rsid w:val="000C446A"/>
    <w:rsid w:val="000D3A8D"/>
    <w:rsid w:val="000E2817"/>
    <w:rsid w:val="000E711C"/>
    <w:rsid w:val="000F09E8"/>
    <w:rsid w:val="000F1123"/>
    <w:rsid w:val="000F13F9"/>
    <w:rsid w:val="000F4883"/>
    <w:rsid w:val="000F5105"/>
    <w:rsid w:val="00104BDA"/>
    <w:rsid w:val="00116F08"/>
    <w:rsid w:val="0011789B"/>
    <w:rsid w:val="00127398"/>
    <w:rsid w:val="00134581"/>
    <w:rsid w:val="00136004"/>
    <w:rsid w:val="001430D6"/>
    <w:rsid w:val="00145A61"/>
    <w:rsid w:val="00150835"/>
    <w:rsid w:val="001517B5"/>
    <w:rsid w:val="00182574"/>
    <w:rsid w:val="00185C7B"/>
    <w:rsid w:val="001A2EC1"/>
    <w:rsid w:val="001A3A40"/>
    <w:rsid w:val="001A450C"/>
    <w:rsid w:val="001A59FA"/>
    <w:rsid w:val="001B0316"/>
    <w:rsid w:val="001B33BF"/>
    <w:rsid w:val="001B3809"/>
    <w:rsid w:val="001B6DCE"/>
    <w:rsid w:val="001C3343"/>
    <w:rsid w:val="001C528B"/>
    <w:rsid w:val="001D3E9B"/>
    <w:rsid w:val="001D7064"/>
    <w:rsid w:val="001E0A05"/>
    <w:rsid w:val="001E0DEC"/>
    <w:rsid w:val="001E142B"/>
    <w:rsid w:val="001E3274"/>
    <w:rsid w:val="001E5D09"/>
    <w:rsid w:val="00202672"/>
    <w:rsid w:val="00207CC2"/>
    <w:rsid w:val="00211287"/>
    <w:rsid w:val="00211905"/>
    <w:rsid w:val="00213EA9"/>
    <w:rsid w:val="00233F58"/>
    <w:rsid w:val="00233F7D"/>
    <w:rsid w:val="00241772"/>
    <w:rsid w:val="00244688"/>
    <w:rsid w:val="0025011C"/>
    <w:rsid w:val="00252A23"/>
    <w:rsid w:val="00257594"/>
    <w:rsid w:val="00260686"/>
    <w:rsid w:val="00261CEE"/>
    <w:rsid w:val="0026291F"/>
    <w:rsid w:val="0026455B"/>
    <w:rsid w:val="002647AA"/>
    <w:rsid w:val="0027322D"/>
    <w:rsid w:val="00273BAF"/>
    <w:rsid w:val="00281556"/>
    <w:rsid w:val="00282537"/>
    <w:rsid w:val="002830F8"/>
    <w:rsid w:val="002838EE"/>
    <w:rsid w:val="00285FB6"/>
    <w:rsid w:val="002935A0"/>
    <w:rsid w:val="00293C6B"/>
    <w:rsid w:val="002B5435"/>
    <w:rsid w:val="002D4290"/>
    <w:rsid w:val="002E4518"/>
    <w:rsid w:val="003048DF"/>
    <w:rsid w:val="00306EC8"/>
    <w:rsid w:val="00314816"/>
    <w:rsid w:val="00320B2C"/>
    <w:rsid w:val="003316DF"/>
    <w:rsid w:val="00332967"/>
    <w:rsid w:val="00341BE5"/>
    <w:rsid w:val="00346AA7"/>
    <w:rsid w:val="003555D3"/>
    <w:rsid w:val="00357DC5"/>
    <w:rsid w:val="00364B0B"/>
    <w:rsid w:val="00366E4B"/>
    <w:rsid w:val="00373258"/>
    <w:rsid w:val="003732F3"/>
    <w:rsid w:val="00377A74"/>
    <w:rsid w:val="00380C8D"/>
    <w:rsid w:val="003814D0"/>
    <w:rsid w:val="003862A7"/>
    <w:rsid w:val="003862ED"/>
    <w:rsid w:val="00390C9E"/>
    <w:rsid w:val="003910EB"/>
    <w:rsid w:val="00392F08"/>
    <w:rsid w:val="003A7E3D"/>
    <w:rsid w:val="003B3A1F"/>
    <w:rsid w:val="003B6AD9"/>
    <w:rsid w:val="003C13F4"/>
    <w:rsid w:val="003D4839"/>
    <w:rsid w:val="003D4C3B"/>
    <w:rsid w:val="003E3B62"/>
    <w:rsid w:val="003F70A4"/>
    <w:rsid w:val="00402A76"/>
    <w:rsid w:val="0040669E"/>
    <w:rsid w:val="00427B5F"/>
    <w:rsid w:val="00434C13"/>
    <w:rsid w:val="004371A6"/>
    <w:rsid w:val="004521D8"/>
    <w:rsid w:val="00470B88"/>
    <w:rsid w:val="00470CA5"/>
    <w:rsid w:val="00482107"/>
    <w:rsid w:val="004825BD"/>
    <w:rsid w:val="00485FE8"/>
    <w:rsid w:val="00486B07"/>
    <w:rsid w:val="004A049A"/>
    <w:rsid w:val="004A0E91"/>
    <w:rsid w:val="004A47E0"/>
    <w:rsid w:val="004B0DA5"/>
    <w:rsid w:val="004B2BC7"/>
    <w:rsid w:val="004B3DEF"/>
    <w:rsid w:val="004B5A2C"/>
    <w:rsid w:val="004C2908"/>
    <w:rsid w:val="004C6D83"/>
    <w:rsid w:val="004E165F"/>
    <w:rsid w:val="005010B0"/>
    <w:rsid w:val="00505DF0"/>
    <w:rsid w:val="005125C6"/>
    <w:rsid w:val="005152E3"/>
    <w:rsid w:val="005156FA"/>
    <w:rsid w:val="0052131B"/>
    <w:rsid w:val="0052573D"/>
    <w:rsid w:val="00527750"/>
    <w:rsid w:val="00560722"/>
    <w:rsid w:val="0056306E"/>
    <w:rsid w:val="00563B31"/>
    <w:rsid w:val="00592DB9"/>
    <w:rsid w:val="00593E3F"/>
    <w:rsid w:val="00594624"/>
    <w:rsid w:val="00597027"/>
    <w:rsid w:val="005A45DA"/>
    <w:rsid w:val="005A6329"/>
    <w:rsid w:val="005B2183"/>
    <w:rsid w:val="005B30FD"/>
    <w:rsid w:val="005B765E"/>
    <w:rsid w:val="005D11F8"/>
    <w:rsid w:val="005D51FF"/>
    <w:rsid w:val="005D548B"/>
    <w:rsid w:val="005D60E7"/>
    <w:rsid w:val="005E5750"/>
    <w:rsid w:val="005E7922"/>
    <w:rsid w:val="005F0B1B"/>
    <w:rsid w:val="005F178F"/>
    <w:rsid w:val="005F1D7A"/>
    <w:rsid w:val="005F2395"/>
    <w:rsid w:val="005F5479"/>
    <w:rsid w:val="006002AB"/>
    <w:rsid w:val="0061300E"/>
    <w:rsid w:val="006237EE"/>
    <w:rsid w:val="0063753E"/>
    <w:rsid w:val="00655168"/>
    <w:rsid w:val="00655BA4"/>
    <w:rsid w:val="00661ECB"/>
    <w:rsid w:val="00670000"/>
    <w:rsid w:val="00673760"/>
    <w:rsid w:val="00683652"/>
    <w:rsid w:val="00696CF8"/>
    <w:rsid w:val="006A0680"/>
    <w:rsid w:val="006B1A18"/>
    <w:rsid w:val="006C20BB"/>
    <w:rsid w:val="006C5FCA"/>
    <w:rsid w:val="006D14EB"/>
    <w:rsid w:val="006D7286"/>
    <w:rsid w:val="006E41CF"/>
    <w:rsid w:val="006E44C4"/>
    <w:rsid w:val="006F14C6"/>
    <w:rsid w:val="006F5CE3"/>
    <w:rsid w:val="00705694"/>
    <w:rsid w:val="00705DB4"/>
    <w:rsid w:val="0071553B"/>
    <w:rsid w:val="00716417"/>
    <w:rsid w:val="00717003"/>
    <w:rsid w:val="0074704D"/>
    <w:rsid w:val="00750B7F"/>
    <w:rsid w:val="007553F4"/>
    <w:rsid w:val="007608F4"/>
    <w:rsid w:val="0076221C"/>
    <w:rsid w:val="007627D4"/>
    <w:rsid w:val="00762A5D"/>
    <w:rsid w:val="00765948"/>
    <w:rsid w:val="007703D6"/>
    <w:rsid w:val="007732EB"/>
    <w:rsid w:val="00773B4B"/>
    <w:rsid w:val="00781131"/>
    <w:rsid w:val="0078680A"/>
    <w:rsid w:val="00790B64"/>
    <w:rsid w:val="00794F82"/>
    <w:rsid w:val="00797160"/>
    <w:rsid w:val="007A3EB0"/>
    <w:rsid w:val="007B00A1"/>
    <w:rsid w:val="007B1B8C"/>
    <w:rsid w:val="007B2685"/>
    <w:rsid w:val="007C6004"/>
    <w:rsid w:val="007C66F2"/>
    <w:rsid w:val="007D7229"/>
    <w:rsid w:val="007E2723"/>
    <w:rsid w:val="007E474F"/>
    <w:rsid w:val="007F4EB7"/>
    <w:rsid w:val="007F789D"/>
    <w:rsid w:val="007F7A59"/>
    <w:rsid w:val="00806250"/>
    <w:rsid w:val="008079B7"/>
    <w:rsid w:val="00823238"/>
    <w:rsid w:val="00830767"/>
    <w:rsid w:val="00835D61"/>
    <w:rsid w:val="0084254E"/>
    <w:rsid w:val="00842D85"/>
    <w:rsid w:val="008462DB"/>
    <w:rsid w:val="00846514"/>
    <w:rsid w:val="008513F2"/>
    <w:rsid w:val="00851C6A"/>
    <w:rsid w:val="0085226F"/>
    <w:rsid w:val="00871DB8"/>
    <w:rsid w:val="0088303C"/>
    <w:rsid w:val="008912AE"/>
    <w:rsid w:val="008925F7"/>
    <w:rsid w:val="0089531D"/>
    <w:rsid w:val="00897131"/>
    <w:rsid w:val="008A10E0"/>
    <w:rsid w:val="008A6568"/>
    <w:rsid w:val="008B10FA"/>
    <w:rsid w:val="008B1245"/>
    <w:rsid w:val="008B643B"/>
    <w:rsid w:val="008C2664"/>
    <w:rsid w:val="008D15BE"/>
    <w:rsid w:val="008D3DFE"/>
    <w:rsid w:val="008D6E5A"/>
    <w:rsid w:val="008D7966"/>
    <w:rsid w:val="008F173C"/>
    <w:rsid w:val="008F4313"/>
    <w:rsid w:val="008F5062"/>
    <w:rsid w:val="008F519E"/>
    <w:rsid w:val="008F543E"/>
    <w:rsid w:val="00901FA0"/>
    <w:rsid w:val="00911BE8"/>
    <w:rsid w:val="00916DAB"/>
    <w:rsid w:val="00921752"/>
    <w:rsid w:val="009440F7"/>
    <w:rsid w:val="0095379C"/>
    <w:rsid w:val="009770EC"/>
    <w:rsid w:val="00994853"/>
    <w:rsid w:val="009A7F3A"/>
    <w:rsid w:val="009B6B93"/>
    <w:rsid w:val="009C0A97"/>
    <w:rsid w:val="009E51A4"/>
    <w:rsid w:val="009E7F92"/>
    <w:rsid w:val="009F2342"/>
    <w:rsid w:val="00A02439"/>
    <w:rsid w:val="00A071ED"/>
    <w:rsid w:val="00A13014"/>
    <w:rsid w:val="00A15456"/>
    <w:rsid w:val="00A27D7E"/>
    <w:rsid w:val="00A326A2"/>
    <w:rsid w:val="00A37901"/>
    <w:rsid w:val="00A37A8E"/>
    <w:rsid w:val="00A4485F"/>
    <w:rsid w:val="00A57D5A"/>
    <w:rsid w:val="00A6180A"/>
    <w:rsid w:val="00A70E2B"/>
    <w:rsid w:val="00A7490C"/>
    <w:rsid w:val="00A92277"/>
    <w:rsid w:val="00AA0608"/>
    <w:rsid w:val="00AA0CBE"/>
    <w:rsid w:val="00AA0D75"/>
    <w:rsid w:val="00AA244B"/>
    <w:rsid w:val="00AC2FA9"/>
    <w:rsid w:val="00AC31D8"/>
    <w:rsid w:val="00AC38B4"/>
    <w:rsid w:val="00AC56B1"/>
    <w:rsid w:val="00AD30BC"/>
    <w:rsid w:val="00AD4C75"/>
    <w:rsid w:val="00AE4ECF"/>
    <w:rsid w:val="00AF5D40"/>
    <w:rsid w:val="00B01F70"/>
    <w:rsid w:val="00B02A56"/>
    <w:rsid w:val="00B057C5"/>
    <w:rsid w:val="00B10A0E"/>
    <w:rsid w:val="00B12BB7"/>
    <w:rsid w:val="00B2041C"/>
    <w:rsid w:val="00B2302D"/>
    <w:rsid w:val="00B26DD4"/>
    <w:rsid w:val="00B42107"/>
    <w:rsid w:val="00B422C1"/>
    <w:rsid w:val="00B504A3"/>
    <w:rsid w:val="00B508BA"/>
    <w:rsid w:val="00B57647"/>
    <w:rsid w:val="00B57665"/>
    <w:rsid w:val="00B7467E"/>
    <w:rsid w:val="00B75E7B"/>
    <w:rsid w:val="00B7692B"/>
    <w:rsid w:val="00B812A0"/>
    <w:rsid w:val="00B81A3C"/>
    <w:rsid w:val="00B83161"/>
    <w:rsid w:val="00B858AD"/>
    <w:rsid w:val="00B90E08"/>
    <w:rsid w:val="00B975AA"/>
    <w:rsid w:val="00BB5162"/>
    <w:rsid w:val="00BB55E1"/>
    <w:rsid w:val="00BB6997"/>
    <w:rsid w:val="00BC0014"/>
    <w:rsid w:val="00BD5B82"/>
    <w:rsid w:val="00BE2924"/>
    <w:rsid w:val="00BE36DF"/>
    <w:rsid w:val="00BE7179"/>
    <w:rsid w:val="00C07FA1"/>
    <w:rsid w:val="00C12CDD"/>
    <w:rsid w:val="00C2483E"/>
    <w:rsid w:val="00C27442"/>
    <w:rsid w:val="00C30A2E"/>
    <w:rsid w:val="00C321D4"/>
    <w:rsid w:val="00C4036F"/>
    <w:rsid w:val="00C553DA"/>
    <w:rsid w:val="00C55D7E"/>
    <w:rsid w:val="00C56F47"/>
    <w:rsid w:val="00C606CC"/>
    <w:rsid w:val="00C6105F"/>
    <w:rsid w:val="00C73DC2"/>
    <w:rsid w:val="00C77326"/>
    <w:rsid w:val="00C77FD0"/>
    <w:rsid w:val="00C829FA"/>
    <w:rsid w:val="00C9076C"/>
    <w:rsid w:val="00C946FC"/>
    <w:rsid w:val="00CA0629"/>
    <w:rsid w:val="00CA12BC"/>
    <w:rsid w:val="00CA546D"/>
    <w:rsid w:val="00CA55B5"/>
    <w:rsid w:val="00CA5AE2"/>
    <w:rsid w:val="00CA6869"/>
    <w:rsid w:val="00CB00A6"/>
    <w:rsid w:val="00CC2A32"/>
    <w:rsid w:val="00CD06C8"/>
    <w:rsid w:val="00CD11B6"/>
    <w:rsid w:val="00CD1D5D"/>
    <w:rsid w:val="00CD45B0"/>
    <w:rsid w:val="00CE3DBF"/>
    <w:rsid w:val="00CE5FCA"/>
    <w:rsid w:val="00CE68E9"/>
    <w:rsid w:val="00CF0421"/>
    <w:rsid w:val="00CF205A"/>
    <w:rsid w:val="00CF3215"/>
    <w:rsid w:val="00D01326"/>
    <w:rsid w:val="00D04CF2"/>
    <w:rsid w:val="00D06385"/>
    <w:rsid w:val="00D06DB0"/>
    <w:rsid w:val="00D16D7B"/>
    <w:rsid w:val="00D33698"/>
    <w:rsid w:val="00D407B8"/>
    <w:rsid w:val="00D408BC"/>
    <w:rsid w:val="00D430F1"/>
    <w:rsid w:val="00D46E1F"/>
    <w:rsid w:val="00D5438D"/>
    <w:rsid w:val="00D5745B"/>
    <w:rsid w:val="00D6363E"/>
    <w:rsid w:val="00D656E1"/>
    <w:rsid w:val="00D730B7"/>
    <w:rsid w:val="00D81425"/>
    <w:rsid w:val="00D81F57"/>
    <w:rsid w:val="00D82B76"/>
    <w:rsid w:val="00D83D4F"/>
    <w:rsid w:val="00D951FE"/>
    <w:rsid w:val="00DA0F81"/>
    <w:rsid w:val="00DA3E4C"/>
    <w:rsid w:val="00DA5E5A"/>
    <w:rsid w:val="00DA731E"/>
    <w:rsid w:val="00DB32FA"/>
    <w:rsid w:val="00DB72DA"/>
    <w:rsid w:val="00DD1A5C"/>
    <w:rsid w:val="00DD1CB3"/>
    <w:rsid w:val="00DD3DEC"/>
    <w:rsid w:val="00DD7B67"/>
    <w:rsid w:val="00DE1E58"/>
    <w:rsid w:val="00DE3ED9"/>
    <w:rsid w:val="00DF1563"/>
    <w:rsid w:val="00DF4C22"/>
    <w:rsid w:val="00E011DA"/>
    <w:rsid w:val="00E03726"/>
    <w:rsid w:val="00E11E87"/>
    <w:rsid w:val="00E145A7"/>
    <w:rsid w:val="00E25175"/>
    <w:rsid w:val="00E262D3"/>
    <w:rsid w:val="00E304A3"/>
    <w:rsid w:val="00E33E4F"/>
    <w:rsid w:val="00E40765"/>
    <w:rsid w:val="00E42A29"/>
    <w:rsid w:val="00E448EA"/>
    <w:rsid w:val="00E47051"/>
    <w:rsid w:val="00E470DA"/>
    <w:rsid w:val="00E51AE2"/>
    <w:rsid w:val="00E61E48"/>
    <w:rsid w:val="00E75450"/>
    <w:rsid w:val="00E7550E"/>
    <w:rsid w:val="00E80A46"/>
    <w:rsid w:val="00E92FE0"/>
    <w:rsid w:val="00E96060"/>
    <w:rsid w:val="00E97EC0"/>
    <w:rsid w:val="00EA2BE2"/>
    <w:rsid w:val="00EA3793"/>
    <w:rsid w:val="00EB2F82"/>
    <w:rsid w:val="00EB44B1"/>
    <w:rsid w:val="00EB4BD1"/>
    <w:rsid w:val="00EC1721"/>
    <w:rsid w:val="00EC2690"/>
    <w:rsid w:val="00EC7C6C"/>
    <w:rsid w:val="00ED6B95"/>
    <w:rsid w:val="00ED78FC"/>
    <w:rsid w:val="00F05456"/>
    <w:rsid w:val="00F103A2"/>
    <w:rsid w:val="00F14407"/>
    <w:rsid w:val="00F16C69"/>
    <w:rsid w:val="00F171CD"/>
    <w:rsid w:val="00F21F89"/>
    <w:rsid w:val="00F244D1"/>
    <w:rsid w:val="00F26767"/>
    <w:rsid w:val="00F31C29"/>
    <w:rsid w:val="00F37C08"/>
    <w:rsid w:val="00F5210C"/>
    <w:rsid w:val="00F539C7"/>
    <w:rsid w:val="00F55708"/>
    <w:rsid w:val="00F73DAE"/>
    <w:rsid w:val="00F75A47"/>
    <w:rsid w:val="00F82284"/>
    <w:rsid w:val="00F85BC1"/>
    <w:rsid w:val="00F85D7F"/>
    <w:rsid w:val="00F9007E"/>
    <w:rsid w:val="00F92077"/>
    <w:rsid w:val="00F96005"/>
    <w:rsid w:val="00F960F9"/>
    <w:rsid w:val="00FA0270"/>
    <w:rsid w:val="00FA3E8D"/>
    <w:rsid w:val="00FA797D"/>
    <w:rsid w:val="00FB08D1"/>
    <w:rsid w:val="00FB30C3"/>
    <w:rsid w:val="00FB4F8C"/>
    <w:rsid w:val="00FC51A6"/>
    <w:rsid w:val="00FC6006"/>
    <w:rsid w:val="00FD5491"/>
    <w:rsid w:val="00FE09FA"/>
    <w:rsid w:val="00FE63ED"/>
    <w:rsid w:val="00FF331F"/>
    <w:rsid w:val="0363DEAA"/>
    <w:rsid w:val="04540E95"/>
    <w:rsid w:val="0A30EEF4"/>
    <w:rsid w:val="12902122"/>
    <w:rsid w:val="13F2431C"/>
    <w:rsid w:val="2408412E"/>
    <w:rsid w:val="25AF8D8B"/>
    <w:rsid w:val="25E6F7CD"/>
    <w:rsid w:val="2AED8B32"/>
    <w:rsid w:val="2F7ECA4B"/>
    <w:rsid w:val="3643AA53"/>
    <w:rsid w:val="3AD07847"/>
    <w:rsid w:val="3AED4B84"/>
    <w:rsid w:val="3BC3B835"/>
    <w:rsid w:val="3D0E475E"/>
    <w:rsid w:val="3F153A42"/>
    <w:rsid w:val="4732396E"/>
    <w:rsid w:val="49051CED"/>
    <w:rsid w:val="51E589A5"/>
    <w:rsid w:val="55216181"/>
    <w:rsid w:val="56C73D0C"/>
    <w:rsid w:val="5AA371F8"/>
    <w:rsid w:val="5AB7A928"/>
    <w:rsid w:val="5FBAA942"/>
    <w:rsid w:val="5FEE704B"/>
    <w:rsid w:val="61E7D1CF"/>
    <w:rsid w:val="65EDBBE9"/>
    <w:rsid w:val="6694A7E4"/>
    <w:rsid w:val="66F6B091"/>
    <w:rsid w:val="6A844F75"/>
    <w:rsid w:val="6B890FD6"/>
    <w:rsid w:val="6BE4CEFD"/>
    <w:rsid w:val="748D7EEC"/>
    <w:rsid w:val="7491CF42"/>
    <w:rsid w:val="7B1C5E94"/>
    <w:rsid w:val="7E44D088"/>
    <w:rsid w:val="7E8050E3"/>
    <w:rsid w:val="7E9DACE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B2FF6"/>
  <w15:chartTrackingRefBased/>
  <w15:docId w15:val="{B4C79384-5D81-46BF-AC35-746424EF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F3"/>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3732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3732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2F3"/>
    <w:rPr>
      <w:rFonts w:asciiTheme="majorHAnsi" w:eastAsiaTheme="majorEastAsia" w:hAnsiTheme="majorHAnsi" w:cstheme="majorBidi"/>
      <w:b/>
      <w:bCs/>
      <w:color w:val="2E74B5" w:themeColor="accent1" w:themeShade="BF"/>
      <w:sz w:val="28"/>
      <w:szCs w:val="28"/>
      <w:lang w:eastAsia="en-GB"/>
    </w:rPr>
  </w:style>
  <w:style w:type="character" w:customStyle="1" w:styleId="Heading3Char">
    <w:name w:val="Heading 3 Char"/>
    <w:basedOn w:val="DefaultParagraphFont"/>
    <w:link w:val="Heading3"/>
    <w:uiPriority w:val="9"/>
    <w:rsid w:val="003732F3"/>
    <w:rPr>
      <w:rFonts w:asciiTheme="majorHAnsi" w:eastAsiaTheme="majorEastAsia" w:hAnsiTheme="majorHAnsi" w:cstheme="majorBidi"/>
      <w:b/>
      <w:bCs/>
      <w:color w:val="5B9BD5" w:themeColor="accent1"/>
      <w:lang w:eastAsia="en-GB"/>
    </w:rPr>
  </w:style>
  <w:style w:type="paragraph" w:styleId="ListParagraph">
    <w:name w:val="List Paragraph"/>
    <w:basedOn w:val="Normal"/>
    <w:link w:val="ListParagraphChar"/>
    <w:uiPriority w:val="34"/>
    <w:qFormat/>
    <w:rsid w:val="003732F3"/>
    <w:pPr>
      <w:ind w:left="720"/>
      <w:contextualSpacing/>
    </w:pPr>
  </w:style>
  <w:style w:type="character" w:styleId="Hyperlink">
    <w:name w:val="Hyperlink"/>
    <w:basedOn w:val="DefaultParagraphFont"/>
    <w:uiPriority w:val="99"/>
    <w:rsid w:val="003732F3"/>
    <w:rPr>
      <w:color w:val="0000FF"/>
      <w:u w:val="single"/>
    </w:rPr>
  </w:style>
  <w:style w:type="paragraph" w:styleId="BalloonText">
    <w:name w:val="Balloon Text"/>
    <w:basedOn w:val="Normal"/>
    <w:link w:val="BalloonTextChar"/>
    <w:uiPriority w:val="99"/>
    <w:semiHidden/>
    <w:unhideWhenUsed/>
    <w:rsid w:val="0080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250"/>
    <w:rPr>
      <w:rFonts w:ascii="Segoe UI" w:eastAsia="Times New Roman" w:hAnsi="Segoe UI" w:cs="Segoe UI"/>
      <w:sz w:val="18"/>
      <w:szCs w:val="18"/>
      <w:lang w:eastAsia="en-GB"/>
    </w:rPr>
  </w:style>
  <w:style w:type="paragraph" w:styleId="NormalWeb">
    <w:name w:val="Normal (Web)"/>
    <w:basedOn w:val="Normal"/>
    <w:uiPriority w:val="99"/>
    <w:semiHidden/>
    <w:unhideWhenUsed/>
    <w:rsid w:val="00DA0F81"/>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AD4C75"/>
    <w:pPr>
      <w:spacing w:line="240" w:lineRule="auto"/>
    </w:pPr>
    <w:rPr>
      <w:sz w:val="20"/>
      <w:szCs w:val="20"/>
    </w:rPr>
  </w:style>
  <w:style w:type="character" w:customStyle="1" w:styleId="CommentTextChar">
    <w:name w:val="Comment Text Char"/>
    <w:basedOn w:val="DefaultParagraphFont"/>
    <w:link w:val="CommentText"/>
    <w:uiPriority w:val="99"/>
    <w:semiHidden/>
    <w:rsid w:val="00AD4C75"/>
    <w:rPr>
      <w:rFonts w:ascii="Calibri" w:eastAsia="Times New Roman" w:hAnsi="Calibri" w:cs="Times New Roman"/>
      <w:sz w:val="20"/>
      <w:szCs w:val="20"/>
      <w:lang w:eastAsia="en-GB"/>
    </w:rPr>
  </w:style>
  <w:style w:type="paragraph" w:styleId="Header">
    <w:name w:val="header"/>
    <w:basedOn w:val="Normal"/>
    <w:link w:val="HeaderChar"/>
    <w:unhideWhenUsed/>
    <w:rsid w:val="00AD4C75"/>
    <w:pPr>
      <w:tabs>
        <w:tab w:val="center" w:pos="4513"/>
        <w:tab w:val="right" w:pos="9026"/>
      </w:tabs>
      <w:spacing w:after="0" w:line="240" w:lineRule="auto"/>
    </w:pPr>
  </w:style>
  <w:style w:type="character" w:customStyle="1" w:styleId="HeaderChar">
    <w:name w:val="Header Char"/>
    <w:basedOn w:val="DefaultParagraphFont"/>
    <w:link w:val="Header"/>
    <w:rsid w:val="00AD4C75"/>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AD4C75"/>
    <w:rPr>
      <w:sz w:val="16"/>
      <w:szCs w:val="16"/>
    </w:rPr>
  </w:style>
  <w:style w:type="paragraph" w:styleId="CommentSubject">
    <w:name w:val="annotation subject"/>
    <w:basedOn w:val="CommentText"/>
    <w:next w:val="CommentText"/>
    <w:link w:val="CommentSubjectChar"/>
    <w:uiPriority w:val="99"/>
    <w:semiHidden/>
    <w:unhideWhenUsed/>
    <w:rsid w:val="00D06385"/>
    <w:rPr>
      <w:b/>
      <w:bCs/>
    </w:rPr>
  </w:style>
  <w:style w:type="character" w:customStyle="1" w:styleId="CommentSubjectChar">
    <w:name w:val="Comment Subject Char"/>
    <w:basedOn w:val="CommentTextChar"/>
    <w:link w:val="CommentSubject"/>
    <w:uiPriority w:val="99"/>
    <w:semiHidden/>
    <w:rsid w:val="00D06385"/>
    <w:rPr>
      <w:rFonts w:ascii="Calibri" w:eastAsia="Times New Roman" w:hAnsi="Calibri" w:cs="Times New Roman"/>
      <w:b/>
      <w:bCs/>
      <w:sz w:val="20"/>
      <w:szCs w:val="20"/>
      <w:lang w:eastAsia="en-GB"/>
    </w:rPr>
  </w:style>
  <w:style w:type="character" w:styleId="FollowedHyperlink">
    <w:name w:val="FollowedHyperlink"/>
    <w:basedOn w:val="DefaultParagraphFont"/>
    <w:uiPriority w:val="99"/>
    <w:semiHidden/>
    <w:unhideWhenUsed/>
    <w:rsid w:val="007B2685"/>
    <w:rPr>
      <w:color w:val="954F72" w:themeColor="followedHyperlink"/>
      <w:u w:val="single"/>
    </w:rPr>
  </w:style>
  <w:style w:type="character" w:customStyle="1" w:styleId="ListParagraphChar">
    <w:name w:val="List Paragraph Char"/>
    <w:link w:val="ListParagraph"/>
    <w:uiPriority w:val="34"/>
    <w:rsid w:val="00AC56B1"/>
    <w:rPr>
      <w:rFonts w:ascii="Calibri" w:eastAsia="Times New Roman" w:hAnsi="Calibri" w:cs="Times New Roman"/>
      <w:lang w:eastAsia="en-GB"/>
    </w:rPr>
  </w:style>
  <w:style w:type="paragraph" w:styleId="FootnoteText">
    <w:name w:val="footnote text"/>
    <w:basedOn w:val="Normal"/>
    <w:link w:val="FootnoteTextChar"/>
    <w:uiPriority w:val="99"/>
    <w:semiHidden/>
    <w:unhideWhenUsed/>
    <w:rsid w:val="00AC56B1"/>
    <w:pPr>
      <w:spacing w:after="0" w:line="240" w:lineRule="auto"/>
    </w:pPr>
    <w:rPr>
      <w:rFonts w:ascii="Humnst777 Lt BT" w:hAnsi="Humnst777 Lt BT"/>
      <w:sz w:val="20"/>
      <w:szCs w:val="20"/>
      <w:lang w:eastAsia="en-US"/>
    </w:rPr>
  </w:style>
  <w:style w:type="character" w:customStyle="1" w:styleId="FootnoteTextChar">
    <w:name w:val="Footnote Text Char"/>
    <w:basedOn w:val="DefaultParagraphFont"/>
    <w:link w:val="FootnoteText"/>
    <w:uiPriority w:val="99"/>
    <w:semiHidden/>
    <w:rsid w:val="00AC56B1"/>
    <w:rPr>
      <w:rFonts w:ascii="Humnst777 Lt BT" w:eastAsia="Times New Roman" w:hAnsi="Humnst777 Lt BT" w:cs="Times New Roman"/>
      <w:sz w:val="20"/>
      <w:szCs w:val="20"/>
    </w:rPr>
  </w:style>
  <w:style w:type="character" w:styleId="FootnoteReference">
    <w:name w:val="footnote reference"/>
    <w:basedOn w:val="DefaultParagraphFont"/>
    <w:uiPriority w:val="99"/>
    <w:semiHidden/>
    <w:unhideWhenUsed/>
    <w:rsid w:val="00AC56B1"/>
    <w:rPr>
      <w:vertAlign w:val="superscript"/>
    </w:rPr>
  </w:style>
  <w:style w:type="paragraph" w:customStyle="1" w:styleId="Default">
    <w:name w:val="Default"/>
    <w:rsid w:val="00AC56B1"/>
    <w:pPr>
      <w:autoSpaceDE w:val="0"/>
      <w:autoSpaceDN w:val="0"/>
      <w:adjustRightInd w:val="0"/>
      <w:spacing w:after="0" w:line="240" w:lineRule="auto"/>
    </w:pPr>
    <w:rPr>
      <w:rFonts w:ascii="Arial" w:eastAsiaTheme="minorEastAsia" w:hAnsi="Arial" w:cs="Arial"/>
      <w:color w:val="000000"/>
      <w:sz w:val="24"/>
      <w:szCs w:val="24"/>
      <w:lang w:eastAsia="zh-TW"/>
    </w:rPr>
  </w:style>
  <w:style w:type="paragraph" w:styleId="Footer">
    <w:name w:val="footer"/>
    <w:basedOn w:val="Normal"/>
    <w:link w:val="FooterChar"/>
    <w:uiPriority w:val="99"/>
    <w:unhideWhenUsed/>
    <w:rsid w:val="00D95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1FE"/>
    <w:rPr>
      <w:rFonts w:ascii="Calibri" w:eastAsia="Times New Roman" w:hAnsi="Calibri" w:cs="Times New Roman"/>
      <w:lang w:eastAsia="en-GB"/>
    </w:rPr>
  </w:style>
  <w:style w:type="paragraph" w:styleId="Revision">
    <w:name w:val="Revision"/>
    <w:hidden/>
    <w:uiPriority w:val="99"/>
    <w:semiHidden/>
    <w:rsid w:val="00C77326"/>
    <w:pPr>
      <w:spacing w:after="0" w:line="240" w:lineRule="auto"/>
    </w:pPr>
    <w:rPr>
      <w:rFonts w:ascii="Calibri" w:eastAsia="Times New Roman" w:hAnsi="Calibri" w:cs="Times New Roman"/>
      <w:lang w:eastAsia="en-GB"/>
    </w:rPr>
  </w:style>
  <w:style w:type="character" w:styleId="UnresolvedMention">
    <w:name w:val="Unresolved Mention"/>
    <w:basedOn w:val="DefaultParagraphFont"/>
    <w:uiPriority w:val="99"/>
    <w:semiHidden/>
    <w:unhideWhenUsed/>
    <w:rsid w:val="00B81A3C"/>
    <w:rPr>
      <w:color w:val="605E5C"/>
      <w:shd w:val="clear" w:color="auto" w:fill="E1DFDD"/>
    </w:rPr>
  </w:style>
  <w:style w:type="table" w:styleId="TableGrid">
    <w:name w:val="Table Grid"/>
    <w:basedOn w:val="TableNormal"/>
    <w:uiPriority w:val="39"/>
    <w:rsid w:val="0090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4EB7"/>
  </w:style>
  <w:style w:type="character" w:customStyle="1" w:styleId="eop">
    <w:name w:val="eop"/>
    <w:basedOn w:val="DefaultParagraphFont"/>
    <w:rsid w:val="007F4EB7"/>
  </w:style>
  <w:style w:type="table" w:customStyle="1" w:styleId="TableGrid1">
    <w:name w:val="Table Grid1"/>
    <w:basedOn w:val="TableNormal"/>
    <w:next w:val="TableGrid"/>
    <w:uiPriority w:val="39"/>
    <w:rsid w:val="007F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6987">
      <w:bodyDiv w:val="1"/>
      <w:marLeft w:val="0"/>
      <w:marRight w:val="0"/>
      <w:marTop w:val="0"/>
      <w:marBottom w:val="0"/>
      <w:divBdr>
        <w:top w:val="none" w:sz="0" w:space="0" w:color="auto"/>
        <w:left w:val="none" w:sz="0" w:space="0" w:color="auto"/>
        <w:bottom w:val="none" w:sz="0" w:space="0" w:color="auto"/>
        <w:right w:val="none" w:sz="0" w:space="0" w:color="auto"/>
      </w:divBdr>
    </w:div>
    <w:div w:id="192573778">
      <w:bodyDiv w:val="1"/>
      <w:marLeft w:val="0"/>
      <w:marRight w:val="0"/>
      <w:marTop w:val="0"/>
      <w:marBottom w:val="0"/>
      <w:divBdr>
        <w:top w:val="none" w:sz="0" w:space="0" w:color="auto"/>
        <w:left w:val="none" w:sz="0" w:space="0" w:color="auto"/>
        <w:bottom w:val="none" w:sz="0" w:space="0" w:color="auto"/>
        <w:right w:val="none" w:sz="0" w:space="0" w:color="auto"/>
      </w:divBdr>
    </w:div>
    <w:div w:id="288709153">
      <w:bodyDiv w:val="1"/>
      <w:marLeft w:val="0"/>
      <w:marRight w:val="0"/>
      <w:marTop w:val="0"/>
      <w:marBottom w:val="0"/>
      <w:divBdr>
        <w:top w:val="none" w:sz="0" w:space="0" w:color="auto"/>
        <w:left w:val="none" w:sz="0" w:space="0" w:color="auto"/>
        <w:bottom w:val="none" w:sz="0" w:space="0" w:color="auto"/>
        <w:right w:val="none" w:sz="0" w:space="0" w:color="auto"/>
      </w:divBdr>
    </w:div>
    <w:div w:id="442120094">
      <w:bodyDiv w:val="1"/>
      <w:marLeft w:val="0"/>
      <w:marRight w:val="0"/>
      <w:marTop w:val="0"/>
      <w:marBottom w:val="0"/>
      <w:divBdr>
        <w:top w:val="none" w:sz="0" w:space="0" w:color="auto"/>
        <w:left w:val="none" w:sz="0" w:space="0" w:color="auto"/>
        <w:bottom w:val="none" w:sz="0" w:space="0" w:color="auto"/>
        <w:right w:val="none" w:sz="0" w:space="0" w:color="auto"/>
      </w:divBdr>
    </w:div>
    <w:div w:id="448167114">
      <w:bodyDiv w:val="1"/>
      <w:marLeft w:val="0"/>
      <w:marRight w:val="0"/>
      <w:marTop w:val="0"/>
      <w:marBottom w:val="0"/>
      <w:divBdr>
        <w:top w:val="none" w:sz="0" w:space="0" w:color="auto"/>
        <w:left w:val="none" w:sz="0" w:space="0" w:color="auto"/>
        <w:bottom w:val="none" w:sz="0" w:space="0" w:color="auto"/>
        <w:right w:val="none" w:sz="0" w:space="0" w:color="auto"/>
      </w:divBdr>
    </w:div>
    <w:div w:id="566691702">
      <w:bodyDiv w:val="1"/>
      <w:marLeft w:val="0"/>
      <w:marRight w:val="0"/>
      <w:marTop w:val="0"/>
      <w:marBottom w:val="0"/>
      <w:divBdr>
        <w:top w:val="none" w:sz="0" w:space="0" w:color="auto"/>
        <w:left w:val="none" w:sz="0" w:space="0" w:color="auto"/>
        <w:bottom w:val="none" w:sz="0" w:space="0" w:color="auto"/>
        <w:right w:val="none" w:sz="0" w:space="0" w:color="auto"/>
      </w:divBdr>
    </w:div>
    <w:div w:id="594559992">
      <w:bodyDiv w:val="1"/>
      <w:marLeft w:val="0"/>
      <w:marRight w:val="0"/>
      <w:marTop w:val="0"/>
      <w:marBottom w:val="0"/>
      <w:divBdr>
        <w:top w:val="none" w:sz="0" w:space="0" w:color="auto"/>
        <w:left w:val="none" w:sz="0" w:space="0" w:color="auto"/>
        <w:bottom w:val="none" w:sz="0" w:space="0" w:color="auto"/>
        <w:right w:val="none" w:sz="0" w:space="0" w:color="auto"/>
      </w:divBdr>
    </w:div>
    <w:div w:id="682130167">
      <w:bodyDiv w:val="1"/>
      <w:marLeft w:val="0"/>
      <w:marRight w:val="0"/>
      <w:marTop w:val="0"/>
      <w:marBottom w:val="0"/>
      <w:divBdr>
        <w:top w:val="none" w:sz="0" w:space="0" w:color="auto"/>
        <w:left w:val="none" w:sz="0" w:space="0" w:color="auto"/>
        <w:bottom w:val="none" w:sz="0" w:space="0" w:color="auto"/>
        <w:right w:val="none" w:sz="0" w:space="0" w:color="auto"/>
      </w:divBdr>
    </w:div>
    <w:div w:id="798494016">
      <w:bodyDiv w:val="1"/>
      <w:marLeft w:val="0"/>
      <w:marRight w:val="0"/>
      <w:marTop w:val="0"/>
      <w:marBottom w:val="0"/>
      <w:divBdr>
        <w:top w:val="none" w:sz="0" w:space="0" w:color="auto"/>
        <w:left w:val="none" w:sz="0" w:space="0" w:color="auto"/>
        <w:bottom w:val="none" w:sz="0" w:space="0" w:color="auto"/>
        <w:right w:val="none" w:sz="0" w:space="0" w:color="auto"/>
      </w:divBdr>
    </w:div>
    <w:div w:id="824903565">
      <w:bodyDiv w:val="1"/>
      <w:marLeft w:val="0"/>
      <w:marRight w:val="0"/>
      <w:marTop w:val="0"/>
      <w:marBottom w:val="0"/>
      <w:divBdr>
        <w:top w:val="none" w:sz="0" w:space="0" w:color="auto"/>
        <w:left w:val="none" w:sz="0" w:space="0" w:color="auto"/>
        <w:bottom w:val="none" w:sz="0" w:space="0" w:color="auto"/>
        <w:right w:val="none" w:sz="0" w:space="0" w:color="auto"/>
      </w:divBdr>
    </w:div>
    <w:div w:id="947857209">
      <w:bodyDiv w:val="1"/>
      <w:marLeft w:val="0"/>
      <w:marRight w:val="0"/>
      <w:marTop w:val="0"/>
      <w:marBottom w:val="0"/>
      <w:divBdr>
        <w:top w:val="none" w:sz="0" w:space="0" w:color="auto"/>
        <w:left w:val="none" w:sz="0" w:space="0" w:color="auto"/>
        <w:bottom w:val="none" w:sz="0" w:space="0" w:color="auto"/>
        <w:right w:val="none" w:sz="0" w:space="0" w:color="auto"/>
      </w:divBdr>
    </w:div>
    <w:div w:id="1055084956">
      <w:bodyDiv w:val="1"/>
      <w:marLeft w:val="0"/>
      <w:marRight w:val="0"/>
      <w:marTop w:val="0"/>
      <w:marBottom w:val="0"/>
      <w:divBdr>
        <w:top w:val="none" w:sz="0" w:space="0" w:color="auto"/>
        <w:left w:val="none" w:sz="0" w:space="0" w:color="auto"/>
        <w:bottom w:val="none" w:sz="0" w:space="0" w:color="auto"/>
        <w:right w:val="none" w:sz="0" w:space="0" w:color="auto"/>
      </w:divBdr>
    </w:div>
    <w:div w:id="1082070052">
      <w:bodyDiv w:val="1"/>
      <w:marLeft w:val="0"/>
      <w:marRight w:val="0"/>
      <w:marTop w:val="0"/>
      <w:marBottom w:val="0"/>
      <w:divBdr>
        <w:top w:val="none" w:sz="0" w:space="0" w:color="auto"/>
        <w:left w:val="none" w:sz="0" w:space="0" w:color="auto"/>
        <w:bottom w:val="none" w:sz="0" w:space="0" w:color="auto"/>
        <w:right w:val="none" w:sz="0" w:space="0" w:color="auto"/>
      </w:divBdr>
    </w:div>
    <w:div w:id="1098519737">
      <w:bodyDiv w:val="1"/>
      <w:marLeft w:val="0"/>
      <w:marRight w:val="0"/>
      <w:marTop w:val="0"/>
      <w:marBottom w:val="0"/>
      <w:divBdr>
        <w:top w:val="none" w:sz="0" w:space="0" w:color="auto"/>
        <w:left w:val="none" w:sz="0" w:space="0" w:color="auto"/>
        <w:bottom w:val="none" w:sz="0" w:space="0" w:color="auto"/>
        <w:right w:val="none" w:sz="0" w:space="0" w:color="auto"/>
      </w:divBdr>
    </w:div>
    <w:div w:id="1099253857">
      <w:bodyDiv w:val="1"/>
      <w:marLeft w:val="0"/>
      <w:marRight w:val="0"/>
      <w:marTop w:val="0"/>
      <w:marBottom w:val="0"/>
      <w:divBdr>
        <w:top w:val="none" w:sz="0" w:space="0" w:color="auto"/>
        <w:left w:val="none" w:sz="0" w:space="0" w:color="auto"/>
        <w:bottom w:val="none" w:sz="0" w:space="0" w:color="auto"/>
        <w:right w:val="none" w:sz="0" w:space="0" w:color="auto"/>
      </w:divBdr>
    </w:div>
    <w:div w:id="1145050319">
      <w:bodyDiv w:val="1"/>
      <w:marLeft w:val="0"/>
      <w:marRight w:val="0"/>
      <w:marTop w:val="0"/>
      <w:marBottom w:val="0"/>
      <w:divBdr>
        <w:top w:val="none" w:sz="0" w:space="0" w:color="auto"/>
        <w:left w:val="none" w:sz="0" w:space="0" w:color="auto"/>
        <w:bottom w:val="none" w:sz="0" w:space="0" w:color="auto"/>
        <w:right w:val="none" w:sz="0" w:space="0" w:color="auto"/>
      </w:divBdr>
    </w:div>
    <w:div w:id="1154494254">
      <w:bodyDiv w:val="1"/>
      <w:marLeft w:val="0"/>
      <w:marRight w:val="0"/>
      <w:marTop w:val="0"/>
      <w:marBottom w:val="0"/>
      <w:divBdr>
        <w:top w:val="none" w:sz="0" w:space="0" w:color="auto"/>
        <w:left w:val="none" w:sz="0" w:space="0" w:color="auto"/>
        <w:bottom w:val="none" w:sz="0" w:space="0" w:color="auto"/>
        <w:right w:val="none" w:sz="0" w:space="0" w:color="auto"/>
      </w:divBdr>
    </w:div>
    <w:div w:id="1206793062">
      <w:bodyDiv w:val="1"/>
      <w:marLeft w:val="0"/>
      <w:marRight w:val="0"/>
      <w:marTop w:val="0"/>
      <w:marBottom w:val="0"/>
      <w:divBdr>
        <w:top w:val="none" w:sz="0" w:space="0" w:color="auto"/>
        <w:left w:val="none" w:sz="0" w:space="0" w:color="auto"/>
        <w:bottom w:val="none" w:sz="0" w:space="0" w:color="auto"/>
        <w:right w:val="none" w:sz="0" w:space="0" w:color="auto"/>
      </w:divBdr>
    </w:div>
    <w:div w:id="1421290181">
      <w:bodyDiv w:val="1"/>
      <w:marLeft w:val="0"/>
      <w:marRight w:val="0"/>
      <w:marTop w:val="0"/>
      <w:marBottom w:val="0"/>
      <w:divBdr>
        <w:top w:val="none" w:sz="0" w:space="0" w:color="auto"/>
        <w:left w:val="none" w:sz="0" w:space="0" w:color="auto"/>
        <w:bottom w:val="none" w:sz="0" w:space="0" w:color="auto"/>
        <w:right w:val="none" w:sz="0" w:space="0" w:color="auto"/>
      </w:divBdr>
    </w:div>
    <w:div w:id="1619142749">
      <w:bodyDiv w:val="1"/>
      <w:marLeft w:val="0"/>
      <w:marRight w:val="0"/>
      <w:marTop w:val="0"/>
      <w:marBottom w:val="0"/>
      <w:divBdr>
        <w:top w:val="none" w:sz="0" w:space="0" w:color="auto"/>
        <w:left w:val="none" w:sz="0" w:space="0" w:color="auto"/>
        <w:bottom w:val="none" w:sz="0" w:space="0" w:color="auto"/>
        <w:right w:val="none" w:sz="0" w:space="0" w:color="auto"/>
      </w:divBdr>
    </w:div>
    <w:div w:id="1692485121">
      <w:bodyDiv w:val="1"/>
      <w:marLeft w:val="0"/>
      <w:marRight w:val="0"/>
      <w:marTop w:val="0"/>
      <w:marBottom w:val="0"/>
      <w:divBdr>
        <w:top w:val="none" w:sz="0" w:space="0" w:color="auto"/>
        <w:left w:val="none" w:sz="0" w:space="0" w:color="auto"/>
        <w:bottom w:val="none" w:sz="0" w:space="0" w:color="auto"/>
        <w:right w:val="none" w:sz="0" w:space="0" w:color="auto"/>
      </w:divBdr>
    </w:div>
    <w:div w:id="1776704873">
      <w:bodyDiv w:val="1"/>
      <w:marLeft w:val="0"/>
      <w:marRight w:val="0"/>
      <w:marTop w:val="0"/>
      <w:marBottom w:val="0"/>
      <w:divBdr>
        <w:top w:val="none" w:sz="0" w:space="0" w:color="auto"/>
        <w:left w:val="none" w:sz="0" w:space="0" w:color="auto"/>
        <w:bottom w:val="none" w:sz="0" w:space="0" w:color="auto"/>
        <w:right w:val="none" w:sz="0" w:space="0" w:color="auto"/>
      </w:divBdr>
    </w:div>
    <w:div w:id="2061902358">
      <w:bodyDiv w:val="1"/>
      <w:marLeft w:val="0"/>
      <w:marRight w:val="0"/>
      <w:marTop w:val="0"/>
      <w:marBottom w:val="0"/>
      <w:divBdr>
        <w:top w:val="none" w:sz="0" w:space="0" w:color="auto"/>
        <w:left w:val="none" w:sz="0" w:space="0" w:color="auto"/>
        <w:bottom w:val="none" w:sz="0" w:space="0" w:color="auto"/>
        <w:right w:val="none" w:sz="0" w:space="0" w:color="auto"/>
      </w:divBdr>
    </w:div>
    <w:div w:id="2072339930">
      <w:bodyDiv w:val="1"/>
      <w:marLeft w:val="0"/>
      <w:marRight w:val="0"/>
      <w:marTop w:val="0"/>
      <w:marBottom w:val="0"/>
      <w:divBdr>
        <w:top w:val="none" w:sz="0" w:space="0" w:color="auto"/>
        <w:left w:val="none" w:sz="0" w:space="0" w:color="auto"/>
        <w:bottom w:val="none" w:sz="0" w:space="0" w:color="auto"/>
        <w:right w:val="none" w:sz="0" w:space="0" w:color="auto"/>
      </w:divBdr>
    </w:div>
    <w:div w:id="21103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abinet-office-controls-version-6/cabinet-office-controls-policy-version-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abinet-office-contr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ontingent-liability-approval-framework" TargetMode="External"/><Relationship Id="rId2" Type="http://schemas.openxmlformats.org/officeDocument/2006/relationships/hyperlink" Target="https://www.gov.uk/government/publications/government-financial-reporting-manual" TargetMode="External"/><Relationship Id="rId1" Type="http://schemas.openxmlformats.org/officeDocument/2006/relationships/hyperlink" Target="https://www.gov.uk/government/publications/civil-service-settlement-agreements-special-severance-payments-and-confidentiality-cla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12" ma:contentTypeDescription="Create a new document." ma:contentTypeScope="" ma:versionID="52abb230550524344ce1f61fa28c2830">
  <xsd:schema xmlns:xsd="http://www.w3.org/2001/XMLSchema" xmlns:xs="http://www.w3.org/2001/XMLSchema" xmlns:p="http://schemas.microsoft.com/office/2006/metadata/properties" xmlns:ns3="be2f4ff7-9192-4716-a1f9-a31266b7c2ae" xmlns:ns4="ec7414fb-287b-4659-a9fc-ef0dbd41dc8e" targetNamespace="http://schemas.microsoft.com/office/2006/metadata/properties" ma:root="true" ma:fieldsID="ea10f509d509dfe8053232edafd4e512" ns3:_="" ns4:_="">
    <xsd:import namespace="be2f4ff7-9192-4716-a1f9-a31266b7c2ae"/>
    <xsd:import namespace="ec7414fb-287b-4659-a9fc-ef0dbd41dc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414fb-287b-4659-a9fc-ef0dbd41dc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F50C1-BD3C-4444-80F2-A04B9DA4E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ec7414fb-287b-4659-a9fc-ef0dbd41d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CBE2B-0A36-40C2-BD7D-527216946BA6}">
  <ds:schemaRefs>
    <ds:schemaRef ds:uri="http://schemas.microsoft.com/sharepoint/v3/contenttype/forms"/>
  </ds:schemaRefs>
</ds:datastoreItem>
</file>

<file path=customXml/itemProps3.xml><?xml version="1.0" encoding="utf-8"?>
<ds:datastoreItem xmlns:ds="http://schemas.openxmlformats.org/officeDocument/2006/customXml" ds:itemID="{9FE63E9D-1EB5-44AC-B0F6-9C6C888664B3}">
  <ds:schemaRefs>
    <ds:schemaRef ds:uri="http://purl.org/dc/elements/1.1/"/>
    <ds:schemaRef ds:uri="http://schemas.microsoft.com/office/2006/metadata/properties"/>
    <ds:schemaRef ds:uri="http://purl.org/dc/terms/"/>
    <ds:schemaRef ds:uri="http://schemas.openxmlformats.org/package/2006/metadata/core-properties"/>
    <ds:schemaRef ds:uri="be2f4ff7-9192-4716-a1f9-a31266b7c2ae"/>
    <ds:schemaRef ds:uri="http://schemas.microsoft.com/office/2006/documentManagement/types"/>
    <ds:schemaRef ds:uri="ec7414fb-287b-4659-a9fc-ef0dbd41dc8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021D8A9-80B8-4D74-AFED-563B1D60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4936</Words>
  <Characters>28139</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HM Treasury</Company>
  <LinksUpToDate>false</LinksUpToDate>
  <CharactersWithSpaces>33009</CharactersWithSpaces>
  <SharedDoc>false</SharedDoc>
  <HLinks>
    <vt:vector size="30" baseType="variant">
      <vt:variant>
        <vt:i4>786507</vt:i4>
      </vt:variant>
      <vt:variant>
        <vt:i4>3</vt:i4>
      </vt:variant>
      <vt:variant>
        <vt:i4>0</vt:i4>
      </vt:variant>
      <vt:variant>
        <vt:i4>5</vt:i4>
      </vt:variant>
      <vt:variant>
        <vt:lpwstr>https://www.gov.uk/government/publications/cabinet-office-controls-version-6/cabinet-office-controls-policy-version-6</vt:lpwstr>
      </vt:variant>
      <vt:variant>
        <vt:lpwstr/>
      </vt:variant>
      <vt:variant>
        <vt:i4>6553717</vt:i4>
      </vt:variant>
      <vt:variant>
        <vt:i4>0</vt:i4>
      </vt:variant>
      <vt:variant>
        <vt:i4>0</vt:i4>
      </vt:variant>
      <vt:variant>
        <vt:i4>5</vt:i4>
      </vt:variant>
      <vt:variant>
        <vt:lpwstr>https://www.gov.uk/government/publications/cabinet-office-controls</vt:lpwstr>
      </vt:variant>
      <vt:variant>
        <vt:lpwstr/>
      </vt:variant>
      <vt:variant>
        <vt:i4>4128884</vt:i4>
      </vt:variant>
      <vt:variant>
        <vt:i4>6</vt:i4>
      </vt:variant>
      <vt:variant>
        <vt:i4>0</vt:i4>
      </vt:variant>
      <vt:variant>
        <vt:i4>5</vt:i4>
      </vt:variant>
      <vt:variant>
        <vt:lpwstr>https://www.gov.uk/government/publications/contingent-liability-approval-framework</vt:lpwstr>
      </vt:variant>
      <vt:variant>
        <vt:lpwstr/>
      </vt:variant>
      <vt:variant>
        <vt:i4>1048646</vt:i4>
      </vt:variant>
      <vt:variant>
        <vt:i4>3</vt:i4>
      </vt:variant>
      <vt:variant>
        <vt:i4>0</vt:i4>
      </vt:variant>
      <vt:variant>
        <vt:i4>5</vt:i4>
      </vt:variant>
      <vt:variant>
        <vt:lpwstr>https://www.gov.uk/government/publications/government-financial-reporting-manual</vt:lpwstr>
      </vt:variant>
      <vt:variant>
        <vt:lpwstr/>
      </vt:variant>
      <vt:variant>
        <vt:i4>4587522</vt:i4>
      </vt:variant>
      <vt:variant>
        <vt:i4>0</vt:i4>
      </vt:variant>
      <vt:variant>
        <vt:i4>0</vt:i4>
      </vt:variant>
      <vt:variant>
        <vt:i4>5</vt:i4>
      </vt:variant>
      <vt:variant>
        <vt:lpwstr>https://www.gov.uk/government/publications/civil-service-settlement-agreements-special-severance-payments-and-confidentiality-clauses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Adam - HMT</dc:creator>
  <cp:keywords/>
  <dc:description/>
  <cp:lastModifiedBy>Natha, Ayesha - HMT</cp:lastModifiedBy>
  <cp:revision>2</cp:revision>
  <cp:lastPrinted>2016-05-04T20:15:00Z</cp:lastPrinted>
  <dcterms:created xsi:type="dcterms:W3CDTF">2022-09-20T11:48:00Z</dcterms:created>
  <dcterms:modified xsi:type="dcterms:W3CDTF">2022-09-20T11:48:00Z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7861e492-4b79-4dee-96a8-7fa0ecfcbeed</vt:lpwstr>
  </property>
  <property fmtid="{D5CDD505-2E9C-101B-9397-08002B2CF9AE}" pid="3" name="ContentTypeId">
    <vt:lpwstr>0x010100358412BB65EEDA4E8125AD2DAF0C0B53</vt:lpwstr>
  </property>
  <property fmtid="{D5CDD505-2E9C-101B-9397-08002B2CF9AE}" pid="4" name="_dlc_policyId">
    <vt:lpwstr/>
  </property>
  <property fmtid="{D5CDD505-2E9C-101B-9397-08002B2CF9AE}" pid="5" name="HMT_Group">
    <vt:lpwstr>1;#Stategy, Planning and Budget|d3fe5680-6f38-4a43-98af-328130e64bbd</vt:lpwstr>
  </property>
  <property fmtid="{D5CDD505-2E9C-101B-9397-08002B2CF9AE}" pid="6" name="HMT_Topic">
    <vt:lpwstr>1364;#Internal Projects|1c6742ad-2316-446a-9b14-d25911780559</vt:lpwstr>
  </property>
  <property fmtid="{D5CDD505-2E9C-101B-9397-08002B2CF9AE}" pid="7" name="HMT_Category">
    <vt:lpwstr>4;#Policy Document Types|bd4325a7-7f6a-48f9-b0dc-cc3aef626e65</vt:lpwstr>
  </property>
  <property fmtid="{D5CDD505-2E9C-101B-9397-08002B2CF9AE}" pid="8" name="HMT_Theme">
    <vt:lpwstr>1188;#Strategic Projects|2fda7e06-63c5-4bbc-8519-023a51172aa0</vt:lpwstr>
  </property>
  <property fmtid="{D5CDD505-2E9C-101B-9397-08002B2CF9AE}" pid="9" name="HMT_SubTopic">
    <vt:lpwstr>3115;#Bronwyn and Tara - NAO Spending team project|833437d5-7075-4c00-8931-3320062ad46c</vt:lpwstr>
  </property>
  <property fmtid="{D5CDD505-2E9C-101B-9397-08002B2CF9AE}" pid="10" name="HMT_Classification">
    <vt:lpwstr>3;#Sensitive|e4b4762f-94f6-4901-a732-9ab10906c6ba</vt:lpwstr>
  </property>
  <property fmtid="{D5CDD505-2E9C-101B-9397-08002B2CF9AE}" pid="11" name="HMT_DocumentType">
    <vt:lpwstr>5;#Other|c235b5c2-f697-427b-a70a-43d69599f998</vt:lpwstr>
  </property>
  <property fmtid="{D5CDD505-2E9C-101B-9397-08002B2CF9AE}" pid="12" name="HMT_Team">
    <vt:lpwstr>730;#Strategy, Planning and Projects|b9da8f4a-2264-4ec2-96b7-3f0a65570797</vt:lpwstr>
  </property>
  <property fmtid="{D5CDD505-2E9C-101B-9397-08002B2CF9AE}" pid="13" name="ItemRetentionFormula">
    <vt:lpwstr/>
  </property>
</Properties>
</file>