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44" w:rsidRDefault="000D3744" w:rsidP="00E605E6">
      <w:pPr>
        <w:tabs>
          <w:tab w:val="left" w:pos="1134"/>
          <w:tab w:val="left" w:pos="1276"/>
          <w:tab w:val="left" w:pos="1418"/>
        </w:tabs>
        <w:snapToGrid w:val="0"/>
        <w:spacing w:line="480" w:lineRule="exact"/>
        <w:jc w:val="both"/>
        <w:rPr>
          <w:rFonts w:ascii="標楷體" w:eastAsia="標楷體" w:hAnsi="標楷體"/>
          <w:color w:val="000000" w:themeColor="text1"/>
          <w:sz w:val="20"/>
          <w:szCs w:val="20"/>
        </w:rPr>
      </w:pPr>
      <w:r>
        <w:rPr>
          <w:rFonts w:ascii="標楷體" w:eastAsia="標楷體" w:hAnsi="標楷體" w:hint="eastAsia"/>
          <w:b/>
          <w:sz w:val="28"/>
          <w:szCs w:val="28"/>
        </w:rPr>
        <w:t xml:space="preserve">     </w:t>
      </w:r>
      <w:r w:rsidR="00E605E6">
        <w:rPr>
          <w:rFonts w:ascii="標楷體" w:eastAsia="標楷體" w:hAnsi="標楷體" w:hint="eastAsia"/>
          <w:b/>
          <w:sz w:val="28"/>
          <w:szCs w:val="28"/>
        </w:rPr>
        <w:t xml:space="preserve"> </w:t>
      </w:r>
      <w:r w:rsidR="00E47B15">
        <w:rPr>
          <w:rFonts w:ascii="標楷體" w:eastAsia="標楷體" w:hAnsi="標楷體" w:hint="eastAsia"/>
          <w:b/>
          <w:sz w:val="28"/>
          <w:szCs w:val="28"/>
        </w:rPr>
        <w:t xml:space="preserve">                                                  </w:t>
      </w:r>
      <w:r w:rsidR="006A251C">
        <w:rPr>
          <w:rFonts w:ascii="標楷體" w:eastAsia="標楷體" w:hAnsi="標楷體" w:hint="eastAsia"/>
          <w:b/>
          <w:sz w:val="28"/>
          <w:szCs w:val="28"/>
        </w:rPr>
        <w:t xml:space="preserve">   </w:t>
      </w:r>
      <w:r w:rsidR="00E47B15">
        <w:rPr>
          <w:rFonts w:ascii="標楷體" w:eastAsia="標楷體" w:hAnsi="標楷體" w:hint="eastAsia"/>
          <w:color w:val="000000" w:themeColor="text1"/>
          <w:sz w:val="20"/>
          <w:szCs w:val="20"/>
        </w:rPr>
        <w:t>【</w:t>
      </w:r>
      <w:r w:rsidR="00E605E6" w:rsidRPr="00E47B15">
        <w:rPr>
          <w:rFonts w:ascii="標楷體" w:eastAsia="標楷體" w:hAnsi="標楷體" w:hint="eastAsia"/>
          <w:color w:val="000000" w:themeColor="text1"/>
          <w:sz w:val="20"/>
          <w:szCs w:val="20"/>
        </w:rPr>
        <w:t>附錄</w:t>
      </w:r>
      <w:r w:rsidR="00E47B15">
        <w:rPr>
          <w:rFonts w:ascii="標楷體" w:eastAsia="標楷體" w:hAnsi="標楷體" w:hint="eastAsia"/>
          <w:color w:val="000000" w:themeColor="text1"/>
          <w:sz w:val="20"/>
          <w:szCs w:val="20"/>
        </w:rPr>
        <w:t>】</w:t>
      </w:r>
    </w:p>
    <w:p w:rsidR="00E47B15" w:rsidRDefault="00E47B15" w:rsidP="00E47B15">
      <w:pPr>
        <w:tabs>
          <w:tab w:val="left" w:pos="1134"/>
          <w:tab w:val="left" w:pos="1276"/>
          <w:tab w:val="left" w:pos="1418"/>
        </w:tabs>
        <w:snapToGrid w:val="0"/>
        <w:spacing w:line="480" w:lineRule="exact"/>
        <w:jc w:val="center"/>
        <w:rPr>
          <w:rFonts w:ascii="標楷體" w:eastAsia="標楷體" w:hAnsi="標楷體"/>
          <w:b/>
          <w:color w:val="000000" w:themeColor="text1"/>
          <w:sz w:val="28"/>
          <w:szCs w:val="28"/>
        </w:rPr>
      </w:pPr>
      <w:r w:rsidRPr="00B22327">
        <w:rPr>
          <w:rFonts w:ascii="標楷體" w:eastAsia="標楷體" w:hAnsi="標楷體" w:hint="eastAsia"/>
          <w:b/>
          <w:color w:val="000000" w:themeColor="text1"/>
          <w:sz w:val="28"/>
          <w:szCs w:val="28"/>
        </w:rPr>
        <w:t>期貨商暨槓桿交易商疑似洗錢</w:t>
      </w:r>
      <w:r w:rsidR="005E54E5" w:rsidRPr="00B22327">
        <w:rPr>
          <w:rFonts w:ascii="標楷體" w:eastAsia="標楷體" w:hAnsi="標楷體" w:hint="eastAsia"/>
          <w:b/>
          <w:color w:val="000000" w:themeColor="text1"/>
          <w:sz w:val="28"/>
          <w:szCs w:val="28"/>
        </w:rPr>
        <w:t>、</w:t>
      </w:r>
      <w:r w:rsidRPr="00B22327">
        <w:rPr>
          <w:rFonts w:ascii="標楷體" w:eastAsia="標楷體" w:hAnsi="標楷體" w:hint="eastAsia"/>
          <w:b/>
          <w:color w:val="000000" w:themeColor="text1"/>
          <w:sz w:val="28"/>
          <w:szCs w:val="28"/>
        </w:rPr>
        <w:t>資恐</w:t>
      </w:r>
      <w:r w:rsidR="005E54E5" w:rsidRPr="00B22327">
        <w:rPr>
          <w:rFonts w:ascii="標楷體" w:eastAsia="標楷體" w:hAnsi="標楷體" w:hint="eastAsia"/>
          <w:b/>
          <w:color w:val="000000" w:themeColor="text1"/>
          <w:sz w:val="28"/>
          <w:szCs w:val="28"/>
        </w:rPr>
        <w:t>或武擴</w:t>
      </w:r>
      <w:r w:rsidR="00180D46">
        <w:rPr>
          <w:rFonts w:ascii="標楷體" w:eastAsia="標楷體" w:hAnsi="標楷體" w:hint="eastAsia"/>
          <w:b/>
          <w:color w:val="000000" w:themeColor="text1"/>
          <w:sz w:val="28"/>
          <w:szCs w:val="28"/>
        </w:rPr>
        <w:t>交易</w:t>
      </w:r>
      <w:r w:rsidRPr="00B22327">
        <w:rPr>
          <w:rFonts w:ascii="標楷體" w:eastAsia="標楷體" w:hAnsi="標楷體" w:hint="eastAsia"/>
          <w:b/>
          <w:color w:val="000000" w:themeColor="text1"/>
          <w:sz w:val="28"/>
          <w:szCs w:val="28"/>
        </w:rPr>
        <w:t>態樣</w:t>
      </w:r>
    </w:p>
    <w:p w:rsidR="00657656" w:rsidRDefault="00657656" w:rsidP="00E47B15">
      <w:pPr>
        <w:tabs>
          <w:tab w:val="left" w:pos="1134"/>
          <w:tab w:val="left" w:pos="1276"/>
          <w:tab w:val="left" w:pos="1418"/>
        </w:tabs>
        <w:snapToGrid w:val="0"/>
        <w:spacing w:line="48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w:t>
      </w:r>
      <w:r w:rsidRPr="00657656">
        <w:rPr>
          <w:rFonts w:ascii="標楷體" w:eastAsia="標楷體" w:hAnsi="標楷體" w:hint="eastAsia"/>
          <w:color w:val="000000" w:themeColor="text1"/>
          <w:sz w:val="20"/>
          <w:szCs w:val="20"/>
        </w:rPr>
        <w:t>106年11月10日金融監督管理委員會金管證期字第1060035382號函</w:t>
      </w:r>
      <w:r w:rsidR="00A45AD7">
        <w:rPr>
          <w:rFonts w:ascii="標楷體" w:eastAsia="標楷體" w:hAnsi="標楷體" w:hint="eastAsia"/>
          <w:color w:val="000000" w:themeColor="text1"/>
          <w:sz w:val="20"/>
          <w:szCs w:val="20"/>
        </w:rPr>
        <w:t>同意</w:t>
      </w:r>
      <w:r w:rsidRPr="00657656">
        <w:rPr>
          <w:rFonts w:ascii="標楷體" w:eastAsia="標楷體" w:hAnsi="標楷體" w:hint="eastAsia"/>
          <w:color w:val="000000" w:themeColor="text1"/>
          <w:sz w:val="20"/>
          <w:szCs w:val="20"/>
        </w:rPr>
        <w:t>備查</w:t>
      </w:r>
    </w:p>
    <w:p w:rsidR="00180D46" w:rsidRDefault="00C42368" w:rsidP="00E47B15">
      <w:pPr>
        <w:tabs>
          <w:tab w:val="left" w:pos="1134"/>
          <w:tab w:val="left" w:pos="1276"/>
          <w:tab w:val="left" w:pos="1418"/>
        </w:tabs>
        <w:snapToGrid w:val="0"/>
        <w:spacing w:line="480" w:lineRule="exact"/>
        <w:jc w:val="center"/>
        <w:rPr>
          <w:rFonts w:ascii="標楷體" w:eastAsia="標楷體" w:hAnsi="標楷體"/>
          <w:color w:val="000000" w:themeColor="text1"/>
          <w:sz w:val="20"/>
          <w:szCs w:val="20"/>
        </w:rPr>
      </w:pPr>
      <w:r w:rsidRPr="00C42368">
        <w:rPr>
          <w:rFonts w:ascii="標楷體" w:eastAsia="標楷體" w:hAnsi="標楷體" w:hint="eastAsia"/>
          <w:color w:val="000000" w:themeColor="text1"/>
          <w:sz w:val="20"/>
          <w:szCs w:val="20"/>
        </w:rPr>
        <w:t>109年1月3日金融監督管理委員會金管證期字第1080334772號函同意備查</w:t>
      </w:r>
    </w:p>
    <w:p w:rsidR="00E00AE1" w:rsidRDefault="00E00AE1" w:rsidP="00E00AE1">
      <w:pPr>
        <w:tabs>
          <w:tab w:val="left" w:pos="1134"/>
          <w:tab w:val="left" w:pos="1276"/>
          <w:tab w:val="left" w:pos="1418"/>
        </w:tabs>
        <w:snapToGrid w:val="0"/>
        <w:spacing w:line="480" w:lineRule="exact"/>
        <w:jc w:val="center"/>
        <w:rPr>
          <w:rFonts w:ascii="標楷體" w:eastAsia="標楷體" w:hAnsi="標楷體" w:hint="eastAsia"/>
          <w:color w:val="000000" w:themeColor="text1"/>
          <w:sz w:val="20"/>
          <w:szCs w:val="20"/>
        </w:rPr>
      </w:pPr>
      <w:r w:rsidRPr="00E00AE1">
        <w:rPr>
          <w:rFonts w:ascii="標楷體" w:eastAsia="標楷體" w:hAnsi="標楷體" w:hint="eastAsia"/>
          <w:color w:val="000000" w:themeColor="text1"/>
          <w:sz w:val="20"/>
          <w:szCs w:val="20"/>
        </w:rPr>
        <w:t>111年1月28日</w:t>
      </w:r>
      <w:r w:rsidRPr="00E00AE1">
        <w:rPr>
          <w:rFonts w:ascii="標楷體" w:eastAsia="標楷體" w:hAnsi="標楷體" w:hint="eastAsia"/>
          <w:color w:val="000000" w:themeColor="text1"/>
          <w:sz w:val="20"/>
          <w:szCs w:val="20"/>
        </w:rPr>
        <w:t>金融監督管理委員會</w:t>
      </w:r>
      <w:r w:rsidRPr="00E00AE1">
        <w:rPr>
          <w:rFonts w:ascii="標楷體" w:eastAsia="標楷體" w:hAnsi="標楷體" w:hint="eastAsia"/>
          <w:color w:val="000000" w:themeColor="text1"/>
          <w:sz w:val="20"/>
          <w:szCs w:val="20"/>
        </w:rPr>
        <w:t>金管證期字第1100378903號</w:t>
      </w:r>
      <w:r w:rsidRPr="00E00AE1">
        <w:rPr>
          <w:rFonts w:ascii="標楷體" w:eastAsia="標楷體" w:hAnsi="標楷體" w:hint="eastAsia"/>
          <w:color w:val="000000" w:themeColor="text1"/>
          <w:sz w:val="20"/>
          <w:szCs w:val="20"/>
        </w:rPr>
        <w:t>函同意備查</w:t>
      </w:r>
      <w:bookmarkStart w:id="0" w:name="_GoBack"/>
      <w:bookmarkEnd w:id="0"/>
    </w:p>
    <w:p w:rsidR="00C42368" w:rsidRPr="00C42368" w:rsidRDefault="00C42368" w:rsidP="00E47B15">
      <w:pPr>
        <w:tabs>
          <w:tab w:val="left" w:pos="1134"/>
          <w:tab w:val="left" w:pos="1276"/>
          <w:tab w:val="left" w:pos="1418"/>
        </w:tabs>
        <w:snapToGrid w:val="0"/>
        <w:spacing w:line="480" w:lineRule="exact"/>
        <w:jc w:val="center"/>
        <w:rPr>
          <w:rFonts w:ascii="標楷體" w:eastAsia="標楷體" w:hAnsi="標楷體"/>
          <w:color w:val="000000" w:themeColor="text1"/>
          <w:sz w:val="20"/>
          <w:szCs w:val="20"/>
        </w:rPr>
      </w:pPr>
    </w:p>
    <w:p w:rsidR="001B1E0B" w:rsidRPr="00B22327" w:rsidRDefault="001B1E0B" w:rsidP="00667E0E">
      <w:pPr>
        <w:pStyle w:val="a"/>
        <w:numPr>
          <w:ilvl w:val="0"/>
          <w:numId w:val="5"/>
        </w:numPr>
        <w:tabs>
          <w:tab w:val="left" w:pos="567"/>
        </w:tabs>
        <w:spacing w:beforeLines="50" w:before="180"/>
        <w:ind w:left="482" w:hanging="482"/>
      </w:pPr>
      <w:r w:rsidRPr="00B22327">
        <w:rPr>
          <w:rFonts w:ascii="標楷體" w:hAnsi="標楷體" w:hint="eastAsia"/>
          <w:b/>
          <w:sz w:val="28"/>
          <w:szCs w:val="28"/>
          <w:lang w:val="x-none"/>
        </w:rPr>
        <w:t>與客戶帳戶有關者：</w:t>
      </w:r>
    </w:p>
    <w:p w:rsidR="000613DA" w:rsidRPr="000613DA" w:rsidRDefault="000D5611" w:rsidP="000613DA">
      <w:pPr>
        <w:pStyle w:val="a4"/>
        <w:numPr>
          <w:ilvl w:val="0"/>
          <w:numId w:val="29"/>
        </w:numPr>
        <w:snapToGrid w:val="0"/>
        <w:spacing w:line="480" w:lineRule="exact"/>
        <w:ind w:leftChars="0"/>
        <w:jc w:val="both"/>
        <w:rPr>
          <w:rFonts w:ascii="標楷體" w:eastAsia="標楷體" w:hAnsi="標楷體"/>
          <w:sz w:val="28"/>
          <w:szCs w:val="28"/>
        </w:rPr>
      </w:pPr>
      <w:r w:rsidRPr="000613DA">
        <w:rPr>
          <w:rFonts w:ascii="標楷體" w:eastAsia="標楷體" w:hAnsi="標楷體" w:hint="eastAsia"/>
          <w:sz w:val="28"/>
          <w:szCs w:val="28"/>
        </w:rPr>
        <w:t>交易人無正當理由開立多個帳戶，且其實質受益人為同一人。</w:t>
      </w:r>
    </w:p>
    <w:p w:rsidR="00995972" w:rsidRPr="000613DA" w:rsidRDefault="001B1E0B" w:rsidP="000613DA">
      <w:pPr>
        <w:pStyle w:val="a4"/>
        <w:numPr>
          <w:ilvl w:val="0"/>
          <w:numId w:val="29"/>
        </w:numPr>
        <w:snapToGrid w:val="0"/>
        <w:spacing w:line="480" w:lineRule="exact"/>
        <w:ind w:leftChars="0"/>
        <w:jc w:val="both"/>
        <w:rPr>
          <w:rFonts w:ascii="標楷體" w:eastAsia="標楷體" w:hAnsi="標楷體"/>
          <w:sz w:val="28"/>
          <w:szCs w:val="28"/>
          <w:lang w:val="x-none"/>
        </w:rPr>
      </w:pPr>
      <w:r w:rsidRPr="000613DA">
        <w:rPr>
          <w:rFonts w:ascii="標楷體" w:eastAsia="標楷體" w:hAnsi="標楷體" w:hint="eastAsia"/>
          <w:sz w:val="28"/>
          <w:szCs w:val="28"/>
          <w:lang w:val="x-none"/>
        </w:rPr>
        <w:t>以不同公司名義但皆有相同之法定代表人或有權簽署人，開立數個帳戶。</w:t>
      </w:r>
    </w:p>
    <w:p w:rsidR="00B343E2" w:rsidRPr="00B22327" w:rsidRDefault="00B343E2" w:rsidP="000613DA">
      <w:pPr>
        <w:pStyle w:val="a4"/>
        <w:numPr>
          <w:ilvl w:val="0"/>
          <w:numId w:val="29"/>
        </w:numPr>
        <w:snapToGrid w:val="0"/>
        <w:spacing w:line="480" w:lineRule="exact"/>
        <w:ind w:leftChars="0"/>
        <w:jc w:val="both"/>
        <w:rPr>
          <w:rFonts w:ascii="標楷體" w:eastAsia="標楷體" w:hAnsi="標楷體"/>
          <w:sz w:val="28"/>
          <w:szCs w:val="28"/>
          <w:lang w:val="x-none"/>
        </w:rPr>
      </w:pPr>
      <w:r w:rsidRPr="00B22327">
        <w:rPr>
          <w:rFonts w:ascii="標楷體" w:eastAsia="標楷體" w:hAnsi="標楷體" w:hint="eastAsia"/>
          <w:sz w:val="28"/>
          <w:szCs w:val="28"/>
          <w:lang w:val="x-none"/>
        </w:rPr>
        <w:t>數個不同客戶之帳戶，均留存相同</w:t>
      </w:r>
      <w:r w:rsidR="00B24F00" w:rsidRPr="00B22327">
        <w:rPr>
          <w:rFonts w:ascii="標楷體" w:eastAsia="標楷體" w:hAnsi="標楷體" w:hint="eastAsia"/>
          <w:sz w:val="28"/>
          <w:szCs w:val="28"/>
          <w:lang w:val="x-none"/>
        </w:rPr>
        <w:t>通訊方式（如</w:t>
      </w:r>
      <w:r w:rsidRPr="00B22327">
        <w:rPr>
          <w:rFonts w:ascii="標楷體" w:eastAsia="標楷體" w:hAnsi="標楷體" w:hint="eastAsia"/>
          <w:sz w:val="28"/>
          <w:szCs w:val="28"/>
          <w:lang w:val="x-none"/>
        </w:rPr>
        <w:t>地址</w:t>
      </w:r>
      <w:r w:rsidR="00B24F00" w:rsidRPr="00B22327">
        <w:rPr>
          <w:rFonts w:ascii="標楷體" w:eastAsia="標楷體" w:hAnsi="標楷體" w:hint="eastAsia"/>
          <w:sz w:val="28"/>
          <w:szCs w:val="28"/>
          <w:lang w:val="x-none"/>
        </w:rPr>
        <w:t>、</w:t>
      </w:r>
      <w:r w:rsidRPr="00B22327">
        <w:rPr>
          <w:rFonts w:ascii="標楷體" w:eastAsia="標楷體" w:hAnsi="標楷體" w:hint="eastAsia"/>
          <w:sz w:val="28"/>
          <w:szCs w:val="28"/>
          <w:lang w:val="x-none"/>
        </w:rPr>
        <w:t>電話</w:t>
      </w:r>
      <w:r w:rsidR="00B24F00" w:rsidRPr="00B22327">
        <w:rPr>
          <w:rFonts w:ascii="標楷體" w:eastAsia="標楷體" w:hAnsi="標楷體" w:hint="eastAsia"/>
          <w:sz w:val="28"/>
          <w:szCs w:val="28"/>
          <w:lang w:val="x-none"/>
        </w:rPr>
        <w:t>或電子郵件信箱等）</w:t>
      </w:r>
      <w:r w:rsidRPr="00B22327">
        <w:rPr>
          <w:rFonts w:ascii="標楷體" w:eastAsia="標楷體" w:hAnsi="標楷體" w:hint="eastAsia"/>
          <w:sz w:val="28"/>
          <w:szCs w:val="28"/>
          <w:lang w:val="x-none"/>
        </w:rPr>
        <w:t>做為聯絡資料</w:t>
      </w:r>
      <w:r w:rsidR="00D43B0B" w:rsidRPr="00B22327">
        <w:rPr>
          <w:rFonts w:ascii="標楷體" w:eastAsia="標楷體" w:hAnsi="標楷體" w:hint="eastAsia"/>
          <w:sz w:val="28"/>
          <w:szCs w:val="28"/>
          <w:lang w:val="x-none"/>
        </w:rPr>
        <w:t>，</w:t>
      </w:r>
      <w:r w:rsidRPr="00B22327">
        <w:rPr>
          <w:rFonts w:ascii="標楷體" w:eastAsia="標楷體" w:hAnsi="標楷體" w:hint="eastAsia"/>
          <w:sz w:val="28"/>
          <w:szCs w:val="28"/>
          <w:lang w:val="x-none"/>
        </w:rPr>
        <w:t>但依據個別留存資料（如姓名、年齡、居住地點、電話等），各客戶間並無明顯關係。</w:t>
      </w:r>
    </w:p>
    <w:p w:rsidR="000613DA" w:rsidRDefault="000613DA" w:rsidP="000613DA">
      <w:pPr>
        <w:snapToGrid w:val="0"/>
        <w:spacing w:line="480" w:lineRule="exact"/>
        <w:ind w:left="840" w:hangingChars="300" w:hanging="840"/>
        <w:jc w:val="both"/>
        <w:rPr>
          <w:rFonts w:ascii="新細明體" w:hAnsi="新細明體"/>
          <w:sz w:val="28"/>
          <w:szCs w:val="28"/>
          <w:lang w:val="x-none"/>
        </w:rPr>
      </w:pPr>
      <w:r w:rsidRPr="000613DA">
        <w:rPr>
          <w:rFonts w:ascii="標楷體" w:eastAsia="標楷體" w:hAnsi="標楷體" w:hint="eastAsia"/>
          <w:sz w:val="28"/>
          <w:szCs w:val="28"/>
          <w:lang w:val="x-none"/>
        </w:rPr>
        <w:t>（四）</w:t>
      </w:r>
      <w:r w:rsidR="00B343E2" w:rsidRPr="000613DA">
        <w:rPr>
          <w:rFonts w:ascii="標楷體" w:eastAsia="標楷體" w:hAnsi="標楷體" w:hint="eastAsia"/>
          <w:sz w:val="28"/>
          <w:szCs w:val="28"/>
          <w:lang w:val="x-none"/>
        </w:rPr>
        <w:t>客戶無正當理由拒絕提供所要求的資料，或拒絕配合盡職審查或持續監控程序</w:t>
      </w:r>
      <w:r w:rsidR="00654362" w:rsidRPr="000613DA">
        <w:rPr>
          <w:rFonts w:ascii="新細明體" w:hAnsi="新細明體" w:hint="eastAsia"/>
          <w:sz w:val="28"/>
          <w:szCs w:val="28"/>
          <w:lang w:val="x-none"/>
        </w:rPr>
        <w:t>。</w:t>
      </w:r>
    </w:p>
    <w:p w:rsidR="000613DA"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t>（五）</w:t>
      </w:r>
      <w:r w:rsidR="00544186" w:rsidRPr="00B22327">
        <w:rPr>
          <w:rFonts w:ascii="標楷體" w:eastAsia="標楷體" w:hAnsi="標楷體" w:hint="eastAsia"/>
          <w:sz w:val="28"/>
          <w:szCs w:val="28"/>
          <w:lang w:val="x-none"/>
        </w:rPr>
        <w:t>客戶之地址或工作地點與期貨商或槓桿交易商所在地距離遙遠且無法作合理之解釋，且其交易情形顯有異常者。</w:t>
      </w:r>
    </w:p>
    <w:p w:rsidR="000613DA"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t>（六）</w:t>
      </w:r>
      <w:r w:rsidR="00B343E2" w:rsidRPr="00B22327">
        <w:rPr>
          <w:rFonts w:ascii="標楷體" w:eastAsia="標楷體" w:hAnsi="標楷體" w:hint="eastAsia"/>
          <w:sz w:val="28"/>
          <w:szCs w:val="28"/>
          <w:lang w:val="x-none"/>
        </w:rPr>
        <w:t>頻繁的變更個人資訊，例如其住址、電話、職業</w:t>
      </w:r>
      <w:r w:rsidR="004E5DAE" w:rsidRPr="00B22327">
        <w:rPr>
          <w:rFonts w:ascii="標楷體" w:eastAsia="標楷體" w:hAnsi="標楷體" w:hint="eastAsia"/>
          <w:sz w:val="28"/>
          <w:szCs w:val="28"/>
          <w:lang w:val="x-none"/>
        </w:rPr>
        <w:t>、銀行帳戶資料</w:t>
      </w:r>
      <w:r w:rsidR="00B343E2" w:rsidRPr="00B22327">
        <w:rPr>
          <w:rFonts w:ascii="標楷體" w:eastAsia="標楷體" w:hAnsi="標楷體" w:hint="eastAsia"/>
          <w:sz w:val="28"/>
          <w:szCs w:val="28"/>
          <w:lang w:val="x-none"/>
        </w:rPr>
        <w:t>，但無明確之憑據可供證明該等變更屬實或有理由。</w:t>
      </w:r>
    </w:p>
    <w:p w:rsidR="000613DA"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t>（七）</w:t>
      </w:r>
      <w:r w:rsidR="00B343E2" w:rsidRPr="00B22327">
        <w:rPr>
          <w:rFonts w:ascii="標楷體" w:eastAsia="標楷體" w:hAnsi="標楷體" w:hint="eastAsia"/>
          <w:sz w:val="28"/>
          <w:szCs w:val="28"/>
          <w:lang w:val="x-none"/>
        </w:rPr>
        <w:t>故意以難以辨認（不合法）或偽裝（詐欺）之手寫筆跡填寫申請表格，或其填寫之內容係屬虛假、難以查證真偽或無效之資訊。</w:t>
      </w:r>
    </w:p>
    <w:p w:rsidR="000613DA"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t>（八）</w:t>
      </w:r>
      <w:r w:rsidR="00B343E2" w:rsidRPr="00B22327">
        <w:rPr>
          <w:rFonts w:ascii="標楷體" w:eastAsia="標楷體" w:hAnsi="標楷體" w:hint="eastAsia"/>
          <w:sz w:val="28"/>
          <w:szCs w:val="28"/>
          <w:lang w:val="x-none"/>
        </w:rPr>
        <w:t>申請者企圖向從業人員行賄</w:t>
      </w:r>
      <w:r w:rsidR="004E5DAE" w:rsidRPr="00B22327">
        <w:rPr>
          <w:rFonts w:ascii="標楷體" w:eastAsia="標楷體" w:hAnsi="標楷體" w:hint="eastAsia"/>
          <w:sz w:val="28"/>
          <w:szCs w:val="28"/>
          <w:lang w:val="x-none"/>
        </w:rPr>
        <w:t>、</w:t>
      </w:r>
      <w:r w:rsidR="00B343E2" w:rsidRPr="00B22327">
        <w:rPr>
          <w:rFonts w:ascii="標楷體" w:eastAsia="標楷體" w:hAnsi="標楷體" w:hint="eastAsia"/>
          <w:sz w:val="28"/>
          <w:szCs w:val="28"/>
          <w:lang w:val="x-none"/>
        </w:rPr>
        <w:t>威脅</w:t>
      </w:r>
      <w:r w:rsidR="004E5DAE" w:rsidRPr="00B22327">
        <w:rPr>
          <w:rFonts w:ascii="標楷體" w:eastAsia="標楷體" w:hAnsi="標楷體" w:hint="eastAsia"/>
          <w:sz w:val="28"/>
          <w:szCs w:val="28"/>
          <w:lang w:val="x-none"/>
        </w:rPr>
        <w:t>或以其他行為</w:t>
      </w:r>
      <w:r w:rsidR="00B343E2" w:rsidRPr="00B22327">
        <w:rPr>
          <w:rFonts w:ascii="標楷體" w:eastAsia="標楷體" w:hAnsi="標楷體" w:hint="eastAsia"/>
          <w:sz w:val="28"/>
          <w:szCs w:val="28"/>
          <w:lang w:val="x-none"/>
        </w:rPr>
        <w:t>，意圖使申請表格內容不完整或促使從業人員接受不完整或錯誤之資訊</w:t>
      </w:r>
      <w:r w:rsidR="004E5DAE" w:rsidRPr="00B22327">
        <w:rPr>
          <w:rFonts w:ascii="標楷體" w:eastAsia="標楷體" w:hAnsi="標楷體" w:hint="eastAsia"/>
          <w:sz w:val="28"/>
          <w:szCs w:val="28"/>
          <w:lang w:val="x-none"/>
        </w:rPr>
        <w:t>，或對公司遵循政府報告要求、公司系統或公司防制洗錢及打擊資恐政策和控管表現出不尋常的關切</w:t>
      </w:r>
      <w:r w:rsidR="00B343E2" w:rsidRPr="00B22327">
        <w:rPr>
          <w:rFonts w:ascii="標楷體" w:eastAsia="標楷體" w:hAnsi="標楷體" w:hint="eastAsia"/>
          <w:sz w:val="28"/>
          <w:szCs w:val="28"/>
          <w:lang w:val="x-none"/>
        </w:rPr>
        <w:t>。</w:t>
      </w:r>
    </w:p>
    <w:p w:rsidR="000613DA"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t>（九）</w:t>
      </w:r>
      <w:r w:rsidR="00B343E2" w:rsidRPr="00B22327">
        <w:rPr>
          <w:rFonts w:ascii="標楷體" w:eastAsia="標楷體" w:hAnsi="標楷體" w:hint="eastAsia"/>
          <w:sz w:val="28"/>
          <w:szCs w:val="28"/>
          <w:lang w:val="x-none"/>
        </w:rPr>
        <w:t>申請者係屬重要政治性職務人士，卻意圖規避正確且完整的填寫申請表格，或未充分證明其資金之來源正當性。</w:t>
      </w:r>
    </w:p>
    <w:p w:rsidR="000613DA"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t>（十）</w:t>
      </w:r>
      <w:r w:rsidR="004E5DAE" w:rsidRPr="00B22327">
        <w:rPr>
          <w:rFonts w:ascii="標楷體" w:eastAsia="標楷體" w:hAnsi="標楷體" w:hint="eastAsia"/>
          <w:sz w:val="28"/>
          <w:szCs w:val="28"/>
          <w:lang w:val="x-none"/>
        </w:rPr>
        <w:t>客戶來自國際防制洗錢組織所公告洗錢或資恐高風險國家或地區、高避稅風險或高金融保密之國家或地區。</w:t>
      </w:r>
    </w:p>
    <w:p w:rsidR="000613DA"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lastRenderedPageBreak/>
        <w:t>（十一）</w:t>
      </w:r>
      <w:r w:rsidR="00724E82" w:rsidRPr="00B22327">
        <w:rPr>
          <w:rFonts w:ascii="標楷體" w:eastAsia="標楷體" w:hAnsi="標楷體" w:hint="eastAsia"/>
          <w:sz w:val="28"/>
          <w:szCs w:val="28"/>
          <w:lang w:val="x-none"/>
        </w:rPr>
        <w:t>客戶係經由海外銀行、關係企業、國外經紀商或其他投資者介紹，且該客戶及其介紹人所隸屬之監理管轄，均屬於未遵循或不完全遵循FATF建議，或有其他高風險情事之國家或地區。</w:t>
      </w:r>
    </w:p>
    <w:p w:rsidR="00724E82" w:rsidRPr="00B22327" w:rsidRDefault="000613DA" w:rsidP="000613DA">
      <w:pPr>
        <w:snapToGrid w:val="0"/>
        <w:spacing w:line="480" w:lineRule="exact"/>
        <w:ind w:left="840" w:hangingChars="300" w:hanging="840"/>
        <w:jc w:val="both"/>
        <w:rPr>
          <w:rFonts w:ascii="標楷體" w:eastAsia="標楷體" w:hAnsi="標楷體"/>
          <w:sz w:val="28"/>
          <w:szCs w:val="28"/>
          <w:lang w:val="x-none"/>
        </w:rPr>
      </w:pPr>
      <w:r>
        <w:rPr>
          <w:rFonts w:ascii="標楷體" w:eastAsia="標楷體" w:hAnsi="標楷體" w:hint="eastAsia"/>
          <w:sz w:val="28"/>
          <w:szCs w:val="28"/>
          <w:lang w:val="x-none"/>
        </w:rPr>
        <w:t>（十二）</w:t>
      </w:r>
      <w:r w:rsidR="00724E82" w:rsidRPr="00B22327">
        <w:rPr>
          <w:rFonts w:ascii="標楷體" w:eastAsia="標楷體" w:hAnsi="標楷體" w:hint="eastAsia"/>
          <w:sz w:val="28"/>
          <w:szCs w:val="28"/>
          <w:lang w:val="x-none"/>
        </w:rPr>
        <w:t>知悉客戶已被其他金融機構拒絕或其客戶身分已被終止。</w:t>
      </w:r>
    </w:p>
    <w:p w:rsidR="00617017" w:rsidRPr="00B22327" w:rsidRDefault="00617017" w:rsidP="00667E0E">
      <w:pPr>
        <w:pStyle w:val="a"/>
        <w:numPr>
          <w:ilvl w:val="0"/>
          <w:numId w:val="5"/>
        </w:numPr>
        <w:tabs>
          <w:tab w:val="left" w:pos="567"/>
        </w:tabs>
        <w:spacing w:beforeLines="50" w:before="180"/>
        <w:ind w:left="482" w:hanging="482"/>
        <w:rPr>
          <w:rFonts w:ascii="標楷體" w:hAnsi="標楷體"/>
          <w:b/>
          <w:sz w:val="28"/>
          <w:szCs w:val="28"/>
          <w:shd w:val="pct15" w:color="auto" w:fill="FFFFFF"/>
          <w:lang w:val="x-none"/>
        </w:rPr>
      </w:pPr>
      <w:r w:rsidRPr="00B22327">
        <w:rPr>
          <w:rFonts w:ascii="標楷體" w:hAnsi="標楷體" w:hint="eastAsia"/>
          <w:b/>
          <w:sz w:val="28"/>
          <w:szCs w:val="28"/>
          <w:lang w:val="x-none"/>
        </w:rPr>
        <w:t>與交易有關者：</w:t>
      </w:r>
    </w:p>
    <w:p w:rsidR="00B343E2" w:rsidRPr="00B22327" w:rsidRDefault="00617017" w:rsidP="00667E0E">
      <w:pPr>
        <w:pStyle w:val="a4"/>
        <w:numPr>
          <w:ilvl w:val="0"/>
          <w:numId w:val="12"/>
        </w:numPr>
        <w:tabs>
          <w:tab w:val="left" w:pos="567"/>
          <w:tab w:val="left" w:pos="709"/>
        </w:tabs>
        <w:snapToGrid w:val="0"/>
        <w:spacing w:line="480" w:lineRule="exact"/>
        <w:ind w:leftChars="0" w:left="482" w:hanging="482"/>
        <w:jc w:val="both"/>
        <w:rPr>
          <w:rFonts w:ascii="標楷體" w:eastAsia="標楷體" w:hAnsi="標楷體"/>
          <w:b/>
          <w:sz w:val="28"/>
          <w:szCs w:val="28"/>
          <w:lang w:val="x-none"/>
        </w:rPr>
      </w:pPr>
      <w:r w:rsidRPr="00B22327">
        <w:rPr>
          <w:rFonts w:ascii="標楷體" w:eastAsia="標楷體" w:hAnsi="標楷體" w:hint="eastAsia"/>
          <w:b/>
          <w:sz w:val="28"/>
          <w:szCs w:val="28"/>
          <w:lang w:val="x-none"/>
        </w:rPr>
        <w:t>交易/服務-期貨商</w:t>
      </w:r>
    </w:p>
    <w:p w:rsidR="00667E0E" w:rsidRPr="00B22327" w:rsidRDefault="00667E0E" w:rsidP="00A120D0">
      <w:pPr>
        <w:pStyle w:val="a4"/>
        <w:numPr>
          <w:ilvl w:val="0"/>
          <w:numId w:val="16"/>
        </w:numPr>
        <w:tabs>
          <w:tab w:val="left" w:pos="567"/>
          <w:tab w:val="left" w:pos="709"/>
        </w:tabs>
        <w:snapToGrid w:val="0"/>
        <w:spacing w:line="480" w:lineRule="exact"/>
        <w:ind w:leftChars="0"/>
        <w:jc w:val="both"/>
        <w:rPr>
          <w:rFonts w:ascii="標楷體" w:eastAsia="標楷體" w:hAnsi="標楷體"/>
          <w:sz w:val="28"/>
          <w:szCs w:val="28"/>
          <w:lang w:val="x-none"/>
        </w:rPr>
      </w:pPr>
      <w:r w:rsidRPr="00B22327">
        <w:rPr>
          <w:rFonts w:ascii="標楷體" w:eastAsia="標楷體" w:hAnsi="標楷體" w:hint="eastAsia"/>
          <w:sz w:val="28"/>
          <w:szCs w:val="28"/>
          <w:lang w:val="x-none"/>
        </w:rPr>
        <w:t>開戶後立即有大額交易國內外期貨契約、選擇權契約或期貨選擇權契約。</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法人客戶開戶後即有大額交易國內外期貨契約、選擇權契約或期貨選擇權契約，與其資本額、營收、可流通現金顯不相當，或該公司成立時間極短。</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客戶從事大額國內外期貨契約、選擇權契約或期貨選擇權契約交易。</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一年以上無交易之帳戶突然大額交易國內外期貨契約、選擇權契約或期貨選擇權契約。</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利用公司員工或特定團體成員集體開立之帳戶大額或頻繁交易國內外期貨契約、選擇權契約或期貨選擇權契約。</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頻繁交易不活絡、流動性低之國內外期貨契約、選擇權契約或期貨選擇權契約。</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以遠高於或以遠低於市價之價格頻繁交易或交易相當數量之國內外期貨契約、選擇權契約或期貨選擇權契約。</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數個帳戶均委由同一人代理從事交易。</w:t>
      </w:r>
    </w:p>
    <w:p w:rsidR="00A120D0" w:rsidRPr="00B22327" w:rsidRDefault="00A120D0" w:rsidP="00A120D0">
      <w:pPr>
        <w:pStyle w:val="a4"/>
        <w:numPr>
          <w:ilvl w:val="0"/>
          <w:numId w:val="16"/>
        </w:numPr>
        <w:tabs>
          <w:tab w:val="left" w:pos="567"/>
          <w:tab w:val="left" w:pos="709"/>
        </w:tabs>
        <w:snapToGrid w:val="0"/>
        <w:spacing w:line="480" w:lineRule="exact"/>
        <w:ind w:leftChars="0"/>
        <w:jc w:val="both"/>
        <w:rPr>
          <w:rFonts w:ascii="標楷體" w:eastAsia="標楷體" w:hAnsi="標楷體"/>
          <w:b/>
          <w:sz w:val="28"/>
          <w:szCs w:val="28"/>
          <w:lang w:val="x-none"/>
        </w:rPr>
      </w:pPr>
      <w:r w:rsidRPr="00B22327">
        <w:rPr>
          <w:rFonts w:ascii="標楷體" w:eastAsia="標楷體" w:hAnsi="標楷體" w:hint="eastAsia"/>
          <w:sz w:val="28"/>
          <w:szCs w:val="28"/>
          <w:lang w:val="x-none"/>
        </w:rPr>
        <w:t>對期貨交易表達興趣，而不要求了解有關商品特性、安全性、風險、獲利報酬率或專業之相關資訊。</w:t>
      </w:r>
    </w:p>
    <w:p w:rsidR="00A120D0" w:rsidRPr="00B22327" w:rsidRDefault="00780FBB" w:rsidP="00780FBB">
      <w:pPr>
        <w:pStyle w:val="a4"/>
        <w:numPr>
          <w:ilvl w:val="0"/>
          <w:numId w:val="16"/>
        </w:numPr>
        <w:tabs>
          <w:tab w:val="left" w:pos="567"/>
          <w:tab w:val="left" w:pos="709"/>
          <w:tab w:val="left" w:pos="993"/>
        </w:tabs>
        <w:snapToGrid w:val="0"/>
        <w:spacing w:line="480" w:lineRule="exact"/>
        <w:ind w:leftChars="0" w:left="924" w:hanging="357"/>
        <w:jc w:val="both"/>
        <w:rPr>
          <w:rFonts w:ascii="標楷體" w:eastAsia="標楷體" w:hAnsi="標楷體"/>
          <w:b/>
          <w:sz w:val="28"/>
          <w:szCs w:val="28"/>
          <w:lang w:val="x-none"/>
        </w:rPr>
      </w:pPr>
      <w:r w:rsidRPr="00B22327">
        <w:rPr>
          <w:rFonts w:ascii="標楷體" w:eastAsia="標楷體" w:hAnsi="標楷體" w:hint="eastAsia"/>
          <w:sz w:val="28"/>
          <w:szCs w:val="28"/>
          <w:lang w:val="x-none"/>
        </w:rPr>
        <w:t>短期內連續大量買賣特定國內期貨契約、選擇權契約或期貨選擇權契約</w:t>
      </w:r>
      <w:r w:rsidR="00DD0CC8" w:rsidRPr="00B22327">
        <w:rPr>
          <w:rFonts w:ascii="新細明體" w:hAnsi="新細明體" w:hint="eastAsia"/>
          <w:sz w:val="28"/>
          <w:szCs w:val="28"/>
          <w:lang w:val="x-none"/>
        </w:rPr>
        <w:t>。</w:t>
      </w:r>
    </w:p>
    <w:p w:rsidR="00A120D0" w:rsidRPr="00B22327" w:rsidRDefault="00780FBB" w:rsidP="00780FBB">
      <w:pPr>
        <w:pStyle w:val="a4"/>
        <w:numPr>
          <w:ilvl w:val="0"/>
          <w:numId w:val="16"/>
        </w:numPr>
        <w:tabs>
          <w:tab w:val="left" w:pos="567"/>
          <w:tab w:val="left" w:pos="709"/>
          <w:tab w:val="left" w:pos="993"/>
        </w:tabs>
        <w:snapToGrid w:val="0"/>
        <w:spacing w:line="480" w:lineRule="exact"/>
        <w:ind w:leftChars="0" w:left="924" w:hanging="357"/>
        <w:jc w:val="both"/>
        <w:rPr>
          <w:rFonts w:ascii="標楷體" w:eastAsia="標楷體" w:hAnsi="標楷體"/>
          <w:b/>
          <w:sz w:val="28"/>
          <w:szCs w:val="28"/>
          <w:lang w:val="x-none"/>
        </w:rPr>
      </w:pPr>
      <w:r w:rsidRPr="00B22327">
        <w:rPr>
          <w:rFonts w:ascii="標楷體" w:eastAsia="標楷體" w:hAnsi="標楷體" w:hint="eastAsia"/>
          <w:sz w:val="28"/>
          <w:szCs w:val="28"/>
          <w:lang w:val="x-none"/>
        </w:rPr>
        <w:t>客戶參與非競價的買賣，且其買賣價格明顯偏離市價。</w:t>
      </w:r>
    </w:p>
    <w:p w:rsidR="00780FBB" w:rsidRPr="00B22327" w:rsidRDefault="00780FBB" w:rsidP="00780FBB">
      <w:pPr>
        <w:pStyle w:val="a4"/>
        <w:numPr>
          <w:ilvl w:val="0"/>
          <w:numId w:val="16"/>
        </w:numPr>
        <w:tabs>
          <w:tab w:val="left" w:pos="567"/>
          <w:tab w:val="left" w:pos="709"/>
          <w:tab w:val="left" w:pos="993"/>
        </w:tabs>
        <w:snapToGrid w:val="0"/>
        <w:spacing w:line="480" w:lineRule="exact"/>
        <w:ind w:leftChars="0" w:left="1021" w:hanging="454"/>
        <w:jc w:val="both"/>
        <w:rPr>
          <w:rFonts w:ascii="標楷體" w:eastAsia="標楷體" w:hAnsi="標楷體"/>
          <w:b/>
          <w:sz w:val="28"/>
          <w:szCs w:val="28"/>
          <w:lang w:val="x-none"/>
        </w:rPr>
      </w:pPr>
      <w:r w:rsidRPr="00B22327">
        <w:rPr>
          <w:rFonts w:ascii="標楷體" w:eastAsia="標楷體" w:hAnsi="標楷體" w:hint="eastAsia"/>
          <w:sz w:val="28"/>
          <w:szCs w:val="28"/>
          <w:lang w:val="x-none"/>
        </w:rPr>
        <w:t>利用人頭戶、委託第三人或同一期貨商不同分公司同一客戶帳戶，進行數量相同的買賣(清洗交易)。</w:t>
      </w:r>
    </w:p>
    <w:p w:rsidR="00780FBB" w:rsidRPr="00B22327" w:rsidRDefault="00780FBB" w:rsidP="00780FBB">
      <w:pPr>
        <w:pStyle w:val="a4"/>
        <w:numPr>
          <w:ilvl w:val="0"/>
          <w:numId w:val="16"/>
        </w:numPr>
        <w:tabs>
          <w:tab w:val="left" w:pos="567"/>
          <w:tab w:val="left" w:pos="709"/>
          <w:tab w:val="left" w:pos="993"/>
        </w:tabs>
        <w:snapToGrid w:val="0"/>
        <w:spacing w:line="480" w:lineRule="exact"/>
        <w:ind w:leftChars="0" w:left="1021" w:hanging="454"/>
        <w:jc w:val="both"/>
        <w:rPr>
          <w:rFonts w:ascii="標楷體" w:eastAsia="標楷體" w:hAnsi="標楷體"/>
          <w:b/>
          <w:sz w:val="28"/>
          <w:szCs w:val="28"/>
          <w:lang w:val="x-none"/>
        </w:rPr>
      </w:pPr>
      <w:r w:rsidRPr="00B22327">
        <w:rPr>
          <w:rFonts w:ascii="標楷體" w:eastAsia="標楷體" w:hAnsi="標楷體" w:hint="eastAsia"/>
          <w:sz w:val="28"/>
          <w:szCs w:val="28"/>
          <w:lang w:val="x-none"/>
        </w:rPr>
        <w:t>客戶進行大額交易，但驗證其身分有困難或已到期(例如外國人、觀</w:t>
      </w:r>
      <w:r w:rsidRPr="00B22327">
        <w:rPr>
          <w:rFonts w:ascii="標楷體" w:eastAsia="標楷體" w:hAnsi="標楷體" w:hint="eastAsia"/>
          <w:sz w:val="28"/>
          <w:szCs w:val="28"/>
          <w:lang w:val="x-none"/>
        </w:rPr>
        <w:lastRenderedPageBreak/>
        <w:t>光客及非居住於國內之客戶)。</w:t>
      </w:r>
    </w:p>
    <w:p w:rsidR="00780FBB" w:rsidRPr="00B22327" w:rsidRDefault="00780FBB" w:rsidP="00780FBB">
      <w:pPr>
        <w:pStyle w:val="a4"/>
        <w:numPr>
          <w:ilvl w:val="0"/>
          <w:numId w:val="16"/>
        </w:numPr>
        <w:tabs>
          <w:tab w:val="left" w:pos="567"/>
          <w:tab w:val="left" w:pos="709"/>
          <w:tab w:val="left" w:pos="993"/>
        </w:tabs>
        <w:snapToGrid w:val="0"/>
        <w:spacing w:line="480" w:lineRule="exact"/>
        <w:ind w:leftChars="0" w:left="924" w:hanging="357"/>
        <w:jc w:val="both"/>
        <w:rPr>
          <w:rFonts w:ascii="標楷體" w:eastAsia="標楷體" w:hAnsi="標楷體"/>
          <w:b/>
          <w:sz w:val="28"/>
          <w:szCs w:val="28"/>
          <w:lang w:val="x-none"/>
        </w:rPr>
      </w:pPr>
      <w:r w:rsidRPr="00B22327">
        <w:rPr>
          <w:rFonts w:ascii="標楷體" w:eastAsia="標楷體" w:hAnsi="標楷體" w:hint="eastAsia"/>
          <w:sz w:val="28"/>
          <w:szCs w:val="28"/>
          <w:lang w:val="x-none"/>
        </w:rPr>
        <w:t>使用數個非本人或擔任代理人之帳戶分散大額交易者。</w:t>
      </w:r>
    </w:p>
    <w:p w:rsidR="00780FBB" w:rsidRPr="00276C6E" w:rsidRDefault="00780FBB" w:rsidP="00C42368">
      <w:pPr>
        <w:pStyle w:val="a4"/>
        <w:numPr>
          <w:ilvl w:val="0"/>
          <w:numId w:val="16"/>
        </w:numPr>
        <w:tabs>
          <w:tab w:val="left" w:pos="567"/>
          <w:tab w:val="left" w:pos="709"/>
          <w:tab w:val="left" w:pos="993"/>
        </w:tabs>
        <w:snapToGrid w:val="0"/>
        <w:spacing w:line="480" w:lineRule="exact"/>
        <w:ind w:leftChars="0" w:left="964" w:hanging="397"/>
        <w:jc w:val="both"/>
        <w:rPr>
          <w:rFonts w:ascii="標楷體" w:eastAsia="標楷體" w:hAnsi="標楷體"/>
          <w:b/>
          <w:sz w:val="28"/>
          <w:szCs w:val="28"/>
          <w:lang w:val="x-none"/>
        </w:rPr>
      </w:pPr>
      <w:r w:rsidRPr="00B22327">
        <w:rPr>
          <w:rFonts w:ascii="標楷體" w:eastAsia="標楷體" w:hAnsi="標楷體" w:hint="eastAsia"/>
          <w:sz w:val="28"/>
          <w:szCs w:val="28"/>
          <w:lang w:val="x-none"/>
        </w:rPr>
        <w:t>交易人頻繁或大額交易可實物交割之商品（如原物料、貴金屬等），且契約到期前表示採實物交割，經瞭解其交易目的、動機或從業人員認為可疑之情況者。</w:t>
      </w:r>
    </w:p>
    <w:p w:rsidR="00276C6E" w:rsidRPr="00562545" w:rsidRDefault="00276C6E" w:rsidP="00276C6E">
      <w:pPr>
        <w:spacing w:line="480" w:lineRule="exact"/>
        <w:rPr>
          <w:rFonts w:ascii="標楷體" w:eastAsia="標楷體" w:hAnsi="標楷體"/>
          <w:sz w:val="28"/>
          <w:szCs w:val="28"/>
          <w:lang w:val="x-none"/>
        </w:rPr>
      </w:pPr>
      <w:r>
        <w:rPr>
          <w:rFonts w:ascii="標楷體" w:eastAsia="標楷體" w:hAnsi="標楷體" w:hint="eastAsia"/>
          <w:sz w:val="28"/>
          <w:szCs w:val="28"/>
          <w:lang w:val="x-none"/>
        </w:rPr>
        <w:t xml:space="preserve">    </w:t>
      </w:r>
      <w:r w:rsidRPr="00562545">
        <w:rPr>
          <w:rFonts w:ascii="標楷體" w:eastAsia="標楷體" w:hAnsi="標楷體" w:hint="eastAsia"/>
          <w:sz w:val="28"/>
          <w:szCs w:val="28"/>
          <w:lang w:val="x-none"/>
        </w:rPr>
        <w:t>16.數個不同客戶帳戶之網際網路委託買賣之IP位址均相同，但依</w:t>
      </w:r>
    </w:p>
    <w:p w:rsidR="00276C6E" w:rsidRPr="00562545" w:rsidRDefault="00276C6E" w:rsidP="00276C6E">
      <w:pPr>
        <w:pStyle w:val="a4"/>
        <w:spacing w:line="480" w:lineRule="exact"/>
        <w:ind w:leftChars="0" w:left="960"/>
        <w:rPr>
          <w:rFonts w:ascii="標楷體" w:eastAsia="標楷體" w:hAnsi="標楷體"/>
          <w:sz w:val="28"/>
          <w:szCs w:val="28"/>
          <w:lang w:val="x-none"/>
        </w:rPr>
      </w:pPr>
      <w:r w:rsidRPr="00562545">
        <w:rPr>
          <w:rFonts w:ascii="標楷體" w:eastAsia="標楷體" w:hAnsi="標楷體" w:hint="eastAsia"/>
          <w:sz w:val="28"/>
          <w:szCs w:val="28"/>
          <w:lang w:val="x-none"/>
        </w:rPr>
        <w:t>據個別留存資料（如姓名、工作地點、居住地點、電話等），各</w:t>
      </w:r>
    </w:p>
    <w:p w:rsidR="00276C6E" w:rsidRPr="00562545" w:rsidRDefault="00276C6E" w:rsidP="00276C6E">
      <w:pPr>
        <w:pStyle w:val="a4"/>
        <w:spacing w:line="480" w:lineRule="exact"/>
        <w:ind w:leftChars="0" w:left="960"/>
        <w:rPr>
          <w:rFonts w:ascii="標楷體" w:eastAsia="標楷體" w:hAnsi="標楷體"/>
          <w:sz w:val="28"/>
          <w:szCs w:val="28"/>
          <w:lang w:val="x-none"/>
        </w:rPr>
      </w:pPr>
      <w:r w:rsidRPr="00562545">
        <w:rPr>
          <w:rFonts w:ascii="標楷體" w:eastAsia="標楷體" w:hAnsi="標楷體" w:hint="eastAsia"/>
          <w:sz w:val="28"/>
          <w:szCs w:val="28"/>
          <w:lang w:val="x-none"/>
        </w:rPr>
        <w:t>客戶間並無明顯關係。</w:t>
      </w:r>
    </w:p>
    <w:p w:rsidR="00276C6E" w:rsidRPr="00562545" w:rsidRDefault="00276C6E" w:rsidP="00276C6E">
      <w:pPr>
        <w:spacing w:line="480" w:lineRule="exact"/>
        <w:rPr>
          <w:rFonts w:ascii="標楷體" w:eastAsia="標楷體" w:hAnsi="標楷體"/>
          <w:sz w:val="28"/>
          <w:szCs w:val="28"/>
          <w:lang w:val="x-none"/>
        </w:rPr>
      </w:pPr>
      <w:r w:rsidRPr="00562545">
        <w:rPr>
          <w:rFonts w:ascii="標楷體" w:eastAsia="標楷體" w:hAnsi="標楷體" w:hint="eastAsia"/>
          <w:sz w:val="28"/>
          <w:szCs w:val="28"/>
          <w:lang w:val="x-none"/>
        </w:rPr>
        <w:t xml:space="preserve">    17.客戶在一定期間交易之累計虧損達一定程度，而與其受核交易額</w:t>
      </w:r>
    </w:p>
    <w:p w:rsidR="00276C6E" w:rsidRPr="00562545" w:rsidRDefault="00276C6E" w:rsidP="00E349D3">
      <w:pPr>
        <w:spacing w:line="480" w:lineRule="exact"/>
        <w:rPr>
          <w:rFonts w:ascii="標楷體" w:eastAsia="標楷體" w:hAnsi="標楷體"/>
          <w:b/>
          <w:sz w:val="28"/>
          <w:szCs w:val="28"/>
          <w:lang w:val="x-none"/>
        </w:rPr>
      </w:pPr>
      <w:r w:rsidRPr="00562545">
        <w:rPr>
          <w:rFonts w:ascii="標楷體" w:eastAsia="標楷體" w:hAnsi="標楷體" w:hint="eastAsia"/>
          <w:sz w:val="28"/>
          <w:szCs w:val="28"/>
          <w:lang w:val="x-none"/>
        </w:rPr>
        <w:t xml:space="preserve">       度顯不相當，且客戶無法說明其資金來源者。</w:t>
      </w:r>
    </w:p>
    <w:p w:rsidR="00276C6E" w:rsidRPr="00562545" w:rsidRDefault="00276C6E" w:rsidP="00276C6E">
      <w:pPr>
        <w:tabs>
          <w:tab w:val="left" w:pos="567"/>
          <w:tab w:val="left" w:pos="709"/>
          <w:tab w:val="left" w:pos="993"/>
        </w:tabs>
        <w:snapToGrid w:val="0"/>
        <w:spacing w:line="480" w:lineRule="exact"/>
        <w:ind w:left="567"/>
        <w:jc w:val="both"/>
        <w:rPr>
          <w:rFonts w:ascii="標楷體" w:eastAsia="標楷體" w:hAnsi="標楷體"/>
          <w:sz w:val="28"/>
          <w:szCs w:val="28"/>
          <w:lang w:val="x-none"/>
        </w:rPr>
      </w:pPr>
      <w:r w:rsidRPr="00562545">
        <w:rPr>
          <w:rFonts w:ascii="標楷體" w:eastAsia="標楷體" w:hAnsi="標楷體" w:hint="eastAsia"/>
          <w:sz w:val="28"/>
          <w:szCs w:val="28"/>
          <w:lang w:val="x-none"/>
        </w:rPr>
        <w:t>18.</w:t>
      </w:r>
      <w:r w:rsidR="00780FBB" w:rsidRPr="00562545">
        <w:rPr>
          <w:rFonts w:ascii="標楷體" w:eastAsia="標楷體" w:hAnsi="標楷體" w:hint="eastAsia"/>
          <w:sz w:val="28"/>
          <w:szCs w:val="28"/>
          <w:lang w:val="x-none"/>
        </w:rPr>
        <w:t>電視、報章雜誌或網際網路等媒體即時報導之特殊重大案件，該涉</w:t>
      </w:r>
    </w:p>
    <w:p w:rsidR="00276C6E" w:rsidRPr="00562545" w:rsidRDefault="00276C6E" w:rsidP="00276C6E">
      <w:pPr>
        <w:tabs>
          <w:tab w:val="left" w:pos="567"/>
          <w:tab w:val="left" w:pos="709"/>
          <w:tab w:val="left" w:pos="993"/>
        </w:tabs>
        <w:snapToGrid w:val="0"/>
        <w:spacing w:line="480" w:lineRule="exact"/>
        <w:ind w:left="567"/>
        <w:jc w:val="both"/>
        <w:rPr>
          <w:rFonts w:ascii="標楷體" w:eastAsia="標楷體" w:hAnsi="標楷體"/>
          <w:sz w:val="28"/>
          <w:szCs w:val="28"/>
          <w:lang w:val="x-none"/>
        </w:rPr>
      </w:pPr>
      <w:r w:rsidRPr="00562545">
        <w:rPr>
          <w:rFonts w:ascii="標楷體" w:eastAsia="標楷體" w:hAnsi="標楷體" w:hint="eastAsia"/>
          <w:sz w:val="28"/>
          <w:szCs w:val="28"/>
          <w:lang w:val="x-none"/>
        </w:rPr>
        <w:t xml:space="preserve">   </w:t>
      </w:r>
      <w:r w:rsidR="00780FBB" w:rsidRPr="00562545">
        <w:rPr>
          <w:rFonts w:ascii="標楷體" w:eastAsia="標楷體" w:hAnsi="標楷體" w:hint="eastAsia"/>
          <w:sz w:val="28"/>
          <w:szCs w:val="28"/>
          <w:lang w:val="x-none"/>
        </w:rPr>
        <w:t>案人在期貨商從事交易，或知悉客戶疑似涉及特殊重大案件，且交</w:t>
      </w:r>
    </w:p>
    <w:p w:rsidR="00780FBB" w:rsidRPr="00562545" w:rsidRDefault="00276C6E" w:rsidP="00276C6E">
      <w:pPr>
        <w:tabs>
          <w:tab w:val="left" w:pos="567"/>
          <w:tab w:val="left" w:pos="709"/>
          <w:tab w:val="left" w:pos="993"/>
        </w:tabs>
        <w:snapToGrid w:val="0"/>
        <w:spacing w:line="480" w:lineRule="exact"/>
        <w:ind w:left="567"/>
        <w:jc w:val="both"/>
        <w:rPr>
          <w:rFonts w:ascii="標楷體" w:eastAsia="標楷體" w:hAnsi="標楷體"/>
          <w:b/>
          <w:sz w:val="28"/>
          <w:szCs w:val="28"/>
          <w:lang w:val="x-none"/>
        </w:rPr>
      </w:pPr>
      <w:r w:rsidRPr="00562545">
        <w:rPr>
          <w:rFonts w:ascii="標楷體" w:eastAsia="標楷體" w:hAnsi="標楷體" w:hint="eastAsia"/>
          <w:sz w:val="28"/>
          <w:szCs w:val="28"/>
          <w:lang w:val="x-none"/>
        </w:rPr>
        <w:t xml:space="preserve">   </w:t>
      </w:r>
      <w:r w:rsidR="00780FBB" w:rsidRPr="00562545">
        <w:rPr>
          <w:rFonts w:ascii="標楷體" w:eastAsia="標楷體" w:hAnsi="標楷體" w:hint="eastAsia"/>
          <w:sz w:val="28"/>
          <w:szCs w:val="28"/>
          <w:lang w:val="x-none"/>
        </w:rPr>
        <w:t>易顯屬異常者。</w:t>
      </w:r>
    </w:p>
    <w:p w:rsidR="00276C6E" w:rsidRPr="00276C6E" w:rsidRDefault="00276C6E" w:rsidP="00276C6E">
      <w:pPr>
        <w:tabs>
          <w:tab w:val="left" w:pos="567"/>
          <w:tab w:val="left" w:pos="709"/>
          <w:tab w:val="left" w:pos="993"/>
        </w:tabs>
        <w:snapToGrid w:val="0"/>
        <w:spacing w:line="480" w:lineRule="exact"/>
        <w:ind w:left="600"/>
        <w:jc w:val="both"/>
        <w:rPr>
          <w:rFonts w:ascii="標楷體" w:eastAsia="標楷體" w:hAnsi="標楷體"/>
          <w:sz w:val="28"/>
          <w:szCs w:val="28"/>
          <w:lang w:val="x-none"/>
        </w:rPr>
      </w:pPr>
      <w:r w:rsidRPr="00562545">
        <w:rPr>
          <w:rFonts w:ascii="標楷體" w:eastAsia="標楷體" w:hAnsi="標楷體"/>
          <w:sz w:val="28"/>
          <w:szCs w:val="28"/>
          <w:lang w:val="x-none"/>
        </w:rPr>
        <w:t>1</w:t>
      </w:r>
      <w:r w:rsidRPr="00562545">
        <w:rPr>
          <w:rFonts w:ascii="標楷體" w:eastAsia="標楷體" w:hAnsi="標楷體" w:hint="eastAsia"/>
          <w:sz w:val="28"/>
          <w:szCs w:val="28"/>
          <w:lang w:val="x-none"/>
        </w:rPr>
        <w:t>9</w:t>
      </w:r>
      <w:r w:rsidRPr="00562545">
        <w:rPr>
          <w:rFonts w:ascii="標楷體" w:eastAsia="標楷體" w:hAnsi="標楷體"/>
          <w:sz w:val="28"/>
          <w:szCs w:val="28"/>
          <w:lang w:val="x-none"/>
        </w:rPr>
        <w:t>.</w:t>
      </w:r>
      <w:r w:rsidR="00780FBB" w:rsidRPr="00562545">
        <w:rPr>
          <w:rFonts w:ascii="標楷體" w:eastAsia="標楷體" w:hAnsi="標楷體" w:hint="eastAsia"/>
          <w:sz w:val="28"/>
          <w:szCs w:val="28"/>
          <w:lang w:val="x-none"/>
        </w:rPr>
        <w:t>不論交易金額多寡</w:t>
      </w:r>
      <w:r w:rsidR="00780FBB" w:rsidRPr="00276C6E">
        <w:rPr>
          <w:rFonts w:ascii="標楷體" w:eastAsia="標楷體" w:hAnsi="標楷體" w:hint="eastAsia"/>
          <w:sz w:val="28"/>
          <w:szCs w:val="28"/>
          <w:lang w:val="x-none"/>
        </w:rPr>
        <w:t>或交易是否完成，發現其他明顯異常之交易行為</w:t>
      </w:r>
    </w:p>
    <w:p w:rsidR="00780FBB" w:rsidRPr="00276C6E" w:rsidRDefault="00276C6E" w:rsidP="00276C6E">
      <w:pPr>
        <w:tabs>
          <w:tab w:val="left" w:pos="567"/>
          <w:tab w:val="left" w:pos="709"/>
          <w:tab w:val="left" w:pos="993"/>
        </w:tabs>
        <w:snapToGrid w:val="0"/>
        <w:spacing w:line="480" w:lineRule="exact"/>
        <w:ind w:left="600"/>
        <w:jc w:val="both"/>
        <w:rPr>
          <w:rFonts w:ascii="標楷體" w:eastAsia="標楷體" w:hAnsi="標楷體"/>
          <w:b/>
          <w:sz w:val="28"/>
          <w:szCs w:val="28"/>
          <w:lang w:val="x-none"/>
        </w:rPr>
      </w:pPr>
      <w:r w:rsidRPr="00276C6E">
        <w:rPr>
          <w:rFonts w:ascii="標楷體" w:eastAsia="標楷體" w:hAnsi="標楷體" w:hint="eastAsia"/>
          <w:sz w:val="28"/>
          <w:szCs w:val="28"/>
          <w:lang w:val="x-none"/>
        </w:rPr>
        <w:t xml:space="preserve">   </w:t>
      </w:r>
      <w:r w:rsidR="00780FBB" w:rsidRPr="00276C6E">
        <w:rPr>
          <w:rFonts w:ascii="標楷體" w:eastAsia="標楷體" w:hAnsi="標楷體" w:hint="eastAsia"/>
          <w:sz w:val="28"/>
          <w:szCs w:val="28"/>
          <w:lang w:val="x-none"/>
        </w:rPr>
        <w:t>或從業人員認為可疑之情況。</w:t>
      </w:r>
    </w:p>
    <w:p w:rsidR="00617520" w:rsidRPr="00B22327" w:rsidRDefault="00617520" w:rsidP="00667E0E">
      <w:pPr>
        <w:pStyle w:val="a4"/>
        <w:numPr>
          <w:ilvl w:val="0"/>
          <w:numId w:val="12"/>
        </w:numPr>
        <w:tabs>
          <w:tab w:val="left" w:pos="567"/>
          <w:tab w:val="left" w:pos="709"/>
        </w:tabs>
        <w:snapToGrid w:val="0"/>
        <w:spacing w:line="480" w:lineRule="exact"/>
        <w:ind w:leftChars="0" w:left="482" w:hanging="482"/>
        <w:jc w:val="both"/>
        <w:rPr>
          <w:rFonts w:ascii="標楷體" w:eastAsia="標楷體" w:hAnsi="標楷體"/>
          <w:b/>
          <w:sz w:val="28"/>
          <w:szCs w:val="28"/>
          <w:lang w:val="x-none"/>
        </w:rPr>
      </w:pPr>
      <w:r w:rsidRPr="00B22327">
        <w:rPr>
          <w:rFonts w:ascii="標楷體" w:eastAsia="標楷體" w:hAnsi="標楷體" w:hint="eastAsia"/>
          <w:b/>
          <w:sz w:val="28"/>
          <w:szCs w:val="28"/>
          <w:lang w:val="x-none"/>
        </w:rPr>
        <w:t>交易/服務-槓桿交易商</w:t>
      </w:r>
    </w:p>
    <w:p w:rsidR="00C42368" w:rsidRDefault="00EE5639" w:rsidP="00C42368">
      <w:pPr>
        <w:pStyle w:val="a4"/>
        <w:numPr>
          <w:ilvl w:val="0"/>
          <w:numId w:val="28"/>
        </w:numPr>
        <w:tabs>
          <w:tab w:val="left" w:pos="567"/>
          <w:tab w:val="left" w:pos="709"/>
          <w:tab w:val="left" w:pos="851"/>
        </w:tabs>
        <w:snapToGrid w:val="0"/>
        <w:spacing w:line="480" w:lineRule="exact"/>
        <w:ind w:leftChars="0"/>
        <w:jc w:val="both"/>
        <w:rPr>
          <w:rFonts w:ascii="標楷體" w:eastAsia="標楷體" w:hAnsi="標楷體"/>
          <w:sz w:val="28"/>
          <w:szCs w:val="28"/>
          <w:lang w:val="x-none"/>
        </w:rPr>
      </w:pPr>
      <w:r w:rsidRPr="00C42368">
        <w:rPr>
          <w:rFonts w:ascii="標楷體" w:eastAsia="標楷體" w:hAnsi="標楷體" w:hint="eastAsia"/>
          <w:sz w:val="28"/>
          <w:szCs w:val="28"/>
          <w:lang w:val="x-none"/>
        </w:rPr>
        <w:t>法人客戶為大額交易，</w:t>
      </w:r>
      <w:r w:rsidR="00531A1E" w:rsidRPr="00C42368">
        <w:rPr>
          <w:rFonts w:ascii="標楷體" w:eastAsia="標楷體" w:hAnsi="標楷體" w:hint="eastAsia"/>
          <w:sz w:val="28"/>
          <w:szCs w:val="28"/>
          <w:lang w:val="x-none"/>
        </w:rPr>
        <w:t>與其資本額、營收、可流通現金顯不相當</w:t>
      </w:r>
      <w:r w:rsidR="00617520" w:rsidRPr="00C42368">
        <w:rPr>
          <w:rFonts w:ascii="標楷體" w:eastAsia="標楷體" w:hAnsi="標楷體" w:hint="eastAsia"/>
          <w:sz w:val="28"/>
          <w:szCs w:val="28"/>
          <w:lang w:val="x-none"/>
        </w:rPr>
        <w:t>，或該公司成立時間極短。</w:t>
      </w:r>
    </w:p>
    <w:p w:rsidR="00ED6DEB" w:rsidRPr="00B22327" w:rsidRDefault="00617017" w:rsidP="00C42368">
      <w:pPr>
        <w:pStyle w:val="a4"/>
        <w:numPr>
          <w:ilvl w:val="0"/>
          <w:numId w:val="28"/>
        </w:numPr>
        <w:tabs>
          <w:tab w:val="left" w:pos="567"/>
          <w:tab w:val="left" w:pos="709"/>
          <w:tab w:val="left" w:pos="851"/>
        </w:tabs>
        <w:snapToGrid w:val="0"/>
        <w:spacing w:line="480" w:lineRule="exact"/>
        <w:ind w:leftChars="0"/>
        <w:jc w:val="both"/>
        <w:rPr>
          <w:rFonts w:ascii="標楷體" w:eastAsia="標楷體" w:hAnsi="標楷體"/>
          <w:sz w:val="28"/>
          <w:szCs w:val="28"/>
          <w:lang w:val="x-none"/>
        </w:rPr>
      </w:pPr>
      <w:r w:rsidRPr="00B22327">
        <w:rPr>
          <w:rFonts w:ascii="標楷體" w:eastAsia="標楷體" w:hAnsi="標楷體" w:hint="eastAsia"/>
          <w:sz w:val="28"/>
          <w:szCs w:val="28"/>
          <w:lang w:val="x-none"/>
        </w:rPr>
        <w:t>客戶從事大額交易。</w:t>
      </w:r>
    </w:p>
    <w:p w:rsidR="00C42368" w:rsidRDefault="00E8745D" w:rsidP="00C42368">
      <w:pPr>
        <w:pStyle w:val="a4"/>
        <w:numPr>
          <w:ilvl w:val="0"/>
          <w:numId w:val="28"/>
        </w:numPr>
        <w:tabs>
          <w:tab w:val="left" w:pos="567"/>
          <w:tab w:val="left" w:pos="709"/>
          <w:tab w:val="left" w:pos="851"/>
        </w:tabs>
        <w:snapToGrid w:val="0"/>
        <w:spacing w:line="480" w:lineRule="exact"/>
        <w:ind w:leftChars="0"/>
        <w:jc w:val="both"/>
        <w:rPr>
          <w:rFonts w:ascii="標楷體" w:eastAsia="標楷體" w:hAnsi="標楷體"/>
          <w:sz w:val="28"/>
          <w:szCs w:val="28"/>
          <w:lang w:val="x-none"/>
        </w:rPr>
      </w:pPr>
      <w:r w:rsidRPr="00C42368">
        <w:rPr>
          <w:rFonts w:ascii="標楷體" w:eastAsia="標楷體" w:hAnsi="標楷體" w:hint="eastAsia"/>
          <w:sz w:val="28"/>
          <w:szCs w:val="28"/>
          <w:lang w:val="x-none"/>
        </w:rPr>
        <w:t>對商品表達興趣，而不要求了解有關商品特性、安全性、風險、獲利報酬率或專業之相關資訊。</w:t>
      </w:r>
    </w:p>
    <w:p w:rsidR="00617017" w:rsidRPr="00B22327" w:rsidRDefault="00617017" w:rsidP="00C42368">
      <w:pPr>
        <w:pStyle w:val="a4"/>
        <w:numPr>
          <w:ilvl w:val="0"/>
          <w:numId w:val="28"/>
        </w:numPr>
        <w:tabs>
          <w:tab w:val="left" w:pos="567"/>
          <w:tab w:val="left" w:pos="709"/>
          <w:tab w:val="left" w:pos="851"/>
        </w:tabs>
        <w:snapToGrid w:val="0"/>
        <w:spacing w:line="480" w:lineRule="exact"/>
        <w:ind w:leftChars="0"/>
        <w:jc w:val="both"/>
        <w:rPr>
          <w:rFonts w:ascii="標楷體" w:eastAsia="標楷體" w:hAnsi="標楷體"/>
          <w:sz w:val="28"/>
          <w:szCs w:val="28"/>
          <w:lang w:val="x-none"/>
        </w:rPr>
      </w:pPr>
      <w:r w:rsidRPr="00B22327">
        <w:rPr>
          <w:rFonts w:ascii="標楷體" w:eastAsia="標楷體" w:hAnsi="標楷體" w:hint="eastAsia"/>
          <w:sz w:val="28"/>
          <w:szCs w:val="28"/>
          <w:lang w:val="x-none"/>
        </w:rPr>
        <w:t>利用公司員工或特定團體成員集體簽約從事大額且頻繁交易。</w:t>
      </w:r>
    </w:p>
    <w:p w:rsidR="00C42368" w:rsidRPr="00C42368" w:rsidRDefault="00E8745D" w:rsidP="00C42368">
      <w:pPr>
        <w:pStyle w:val="a4"/>
        <w:numPr>
          <w:ilvl w:val="0"/>
          <w:numId w:val="28"/>
        </w:numPr>
        <w:tabs>
          <w:tab w:val="left" w:pos="567"/>
          <w:tab w:val="left" w:pos="709"/>
          <w:tab w:val="left" w:pos="851"/>
        </w:tabs>
        <w:snapToGrid w:val="0"/>
        <w:spacing w:line="480" w:lineRule="exact"/>
        <w:ind w:leftChars="0"/>
        <w:jc w:val="both"/>
        <w:rPr>
          <w:rFonts w:ascii="標楷體" w:eastAsia="標楷體" w:hAnsi="標楷體"/>
          <w:sz w:val="28"/>
          <w:szCs w:val="28"/>
          <w:lang w:val="x-none"/>
        </w:rPr>
      </w:pPr>
      <w:r w:rsidRPr="00C42368">
        <w:rPr>
          <w:rFonts w:ascii="標楷體" w:eastAsia="標楷體" w:hAnsi="標楷體" w:hint="eastAsia"/>
          <w:sz w:val="28"/>
          <w:szCs w:val="28"/>
          <w:lang w:val="x-none"/>
        </w:rPr>
        <w:t>客戶在一定期間內頻繁且大額從事交易，該產品並不符合其本身需要。</w:t>
      </w:r>
    </w:p>
    <w:p w:rsidR="00C42368" w:rsidRDefault="00E8745D" w:rsidP="00C42368">
      <w:pPr>
        <w:pStyle w:val="a4"/>
        <w:numPr>
          <w:ilvl w:val="0"/>
          <w:numId w:val="28"/>
        </w:numPr>
        <w:tabs>
          <w:tab w:val="left" w:pos="567"/>
          <w:tab w:val="left" w:pos="709"/>
          <w:tab w:val="left" w:pos="851"/>
        </w:tabs>
        <w:snapToGrid w:val="0"/>
        <w:spacing w:line="480" w:lineRule="exact"/>
        <w:ind w:leftChars="0"/>
        <w:jc w:val="both"/>
        <w:rPr>
          <w:rFonts w:ascii="標楷體" w:eastAsia="標楷體" w:hAnsi="標楷體"/>
          <w:sz w:val="28"/>
          <w:szCs w:val="28"/>
          <w:lang w:val="x-none"/>
        </w:rPr>
      </w:pPr>
      <w:r w:rsidRPr="00C42368">
        <w:rPr>
          <w:rFonts w:ascii="標楷體" w:eastAsia="標楷體" w:hAnsi="標楷體" w:hint="eastAsia"/>
          <w:sz w:val="28"/>
          <w:szCs w:val="28"/>
          <w:lang w:val="x-none"/>
        </w:rPr>
        <w:t>電視、報章雜誌或網際網路等媒體即時報導之特殊重大案件，該涉案人在槓桿交易商從事交易，或知悉客戶疑似涉及特殊重大案件，且交易顯屬異常者。</w:t>
      </w:r>
    </w:p>
    <w:p w:rsidR="00A22518" w:rsidRPr="00C42368" w:rsidRDefault="00C42368" w:rsidP="00C42368">
      <w:pPr>
        <w:pStyle w:val="a4"/>
        <w:tabs>
          <w:tab w:val="left" w:pos="567"/>
          <w:tab w:val="left" w:pos="709"/>
          <w:tab w:val="left" w:pos="851"/>
        </w:tabs>
        <w:snapToGrid w:val="0"/>
        <w:spacing w:line="480" w:lineRule="exact"/>
        <w:ind w:leftChars="0" w:left="953" w:hanging="397"/>
        <w:jc w:val="both"/>
        <w:rPr>
          <w:rFonts w:ascii="標楷體" w:eastAsia="標楷體" w:hAnsi="標楷體"/>
          <w:sz w:val="28"/>
          <w:szCs w:val="28"/>
          <w:lang w:val="x-none"/>
        </w:rPr>
      </w:pPr>
      <w:r>
        <w:rPr>
          <w:rFonts w:ascii="標楷體" w:eastAsia="標楷體" w:hAnsi="標楷體" w:hint="eastAsia"/>
          <w:sz w:val="28"/>
          <w:szCs w:val="28"/>
          <w:lang w:val="x-none"/>
        </w:rPr>
        <w:t>7.</w:t>
      </w:r>
      <w:r w:rsidR="00E8745D" w:rsidRPr="00C42368">
        <w:rPr>
          <w:rFonts w:ascii="標楷體" w:eastAsia="標楷體" w:hAnsi="標楷體" w:hint="eastAsia"/>
          <w:sz w:val="28"/>
          <w:szCs w:val="28"/>
          <w:lang w:val="x-none"/>
        </w:rPr>
        <w:t>不論交易金額多寡或交易是否完成，發現其他明顯異常之交易行為或從業人員認為可疑之情況。</w:t>
      </w:r>
      <w:r w:rsidR="00ED6DEB" w:rsidRPr="00C42368">
        <w:rPr>
          <w:rFonts w:ascii="標楷體" w:eastAsia="標楷體" w:hAnsi="標楷體" w:hint="eastAsia"/>
          <w:sz w:val="28"/>
          <w:szCs w:val="28"/>
          <w:lang w:val="x-none"/>
        </w:rPr>
        <w:t xml:space="preserve">    </w:t>
      </w:r>
    </w:p>
    <w:p w:rsidR="00614CEB" w:rsidRPr="00B22327" w:rsidRDefault="00614CEB" w:rsidP="00E931EA">
      <w:pPr>
        <w:pStyle w:val="a"/>
        <w:numPr>
          <w:ilvl w:val="0"/>
          <w:numId w:val="5"/>
        </w:numPr>
        <w:tabs>
          <w:tab w:val="left" w:pos="567"/>
        </w:tabs>
        <w:spacing w:beforeLines="50" w:before="180"/>
        <w:ind w:left="482" w:hanging="482"/>
        <w:rPr>
          <w:rFonts w:ascii="標楷體" w:hAnsi="標楷體"/>
          <w:b/>
          <w:sz w:val="28"/>
          <w:szCs w:val="28"/>
          <w:shd w:val="pct15" w:color="auto" w:fill="FFFFFF"/>
          <w:lang w:val="x-none"/>
        </w:rPr>
      </w:pPr>
      <w:r w:rsidRPr="00B22327">
        <w:rPr>
          <w:rFonts w:ascii="標楷體" w:hAnsi="標楷體" w:hint="eastAsia"/>
          <w:b/>
          <w:sz w:val="28"/>
          <w:szCs w:val="28"/>
          <w:lang w:val="x-none"/>
        </w:rPr>
        <w:lastRenderedPageBreak/>
        <w:t>與收付/轉帳有關者：</w:t>
      </w:r>
    </w:p>
    <w:p w:rsidR="00C42368" w:rsidRDefault="00C42368" w:rsidP="00C42368">
      <w:pPr>
        <w:spacing w:line="480" w:lineRule="exact"/>
        <w:ind w:left="840" w:hangingChars="300" w:hanging="840"/>
        <w:rPr>
          <w:rFonts w:ascii="標楷體" w:eastAsia="標楷體" w:hAnsi="標楷體"/>
          <w:sz w:val="28"/>
          <w:szCs w:val="28"/>
        </w:rPr>
      </w:pPr>
      <w:r w:rsidRPr="00C42368">
        <w:rPr>
          <w:rFonts w:ascii="標楷體" w:eastAsia="標楷體" w:hAnsi="標楷體" w:hint="eastAsia"/>
          <w:sz w:val="28"/>
          <w:szCs w:val="28"/>
          <w:lang w:val="x-none"/>
        </w:rPr>
        <w:t>（</w:t>
      </w:r>
      <w:r>
        <w:rPr>
          <w:rFonts w:ascii="標楷體" w:eastAsia="標楷體" w:hAnsi="標楷體" w:hint="eastAsia"/>
          <w:sz w:val="28"/>
          <w:szCs w:val="28"/>
          <w:lang w:val="x-none"/>
        </w:rPr>
        <w:t>一</w:t>
      </w:r>
      <w:r w:rsidRPr="00C42368">
        <w:rPr>
          <w:rFonts w:ascii="標楷體" w:eastAsia="標楷體" w:hAnsi="標楷體" w:hint="eastAsia"/>
          <w:sz w:val="28"/>
          <w:szCs w:val="28"/>
          <w:lang w:val="x-none"/>
        </w:rPr>
        <w:t>）</w:t>
      </w:r>
      <w:r w:rsidR="00DE15CD" w:rsidRPr="00C42368">
        <w:rPr>
          <w:rFonts w:ascii="標楷體" w:eastAsia="標楷體" w:hAnsi="標楷體" w:hint="eastAsia"/>
          <w:sz w:val="28"/>
          <w:szCs w:val="28"/>
        </w:rPr>
        <w:t>交易人約定出、入金之銀行帳戶，係在國際防制洗錢組織所公告洗錢或資恐高風險國家或地區、高避稅風險或高金融保密之國家或地區。</w:t>
      </w:r>
    </w:p>
    <w:p w:rsidR="00C42368" w:rsidRDefault="00C42368" w:rsidP="00C42368">
      <w:pPr>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（二）</w:t>
      </w:r>
      <w:r w:rsidR="008E2B10" w:rsidRPr="00B22327">
        <w:rPr>
          <w:rFonts w:ascii="標楷體" w:eastAsia="標楷體" w:hAnsi="標楷體" w:hint="eastAsia"/>
          <w:sz w:val="28"/>
          <w:szCs w:val="28"/>
        </w:rPr>
        <w:t>自國際防制洗錢組織所公告洗錢或資恐高風險國家或地區、高避稅風險或高金融保密之國家或地區匯入保證金或權利金。</w:t>
      </w:r>
    </w:p>
    <w:p w:rsidR="00C42368" w:rsidRDefault="00C42368" w:rsidP="00C42368">
      <w:pPr>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（三）</w:t>
      </w:r>
      <w:r w:rsidR="008E2B10" w:rsidRPr="00B22327">
        <w:rPr>
          <w:rFonts w:ascii="標楷體" w:eastAsia="標楷體" w:hAnsi="標楷體" w:hint="eastAsia"/>
          <w:sz w:val="28"/>
          <w:szCs w:val="28"/>
        </w:rPr>
        <w:t>客戶於一定期間存入特定金額以上或筆數達一定數量以上之交易保證金或權利金，且甚少進行相關交易，又迅速移轉者。</w:t>
      </w:r>
    </w:p>
    <w:p w:rsidR="00C42368" w:rsidRDefault="00C42368" w:rsidP="00C42368">
      <w:pPr>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（四）</w:t>
      </w:r>
      <w:r w:rsidR="008E2B10" w:rsidRPr="00B22327">
        <w:rPr>
          <w:rFonts w:ascii="標楷體" w:eastAsia="標楷體" w:hAnsi="標楷體" w:hint="eastAsia"/>
          <w:sz w:val="28"/>
          <w:szCs w:val="28"/>
        </w:rPr>
        <w:t>一年以上無交易之帳戶突然存入、提領達特定金額以上或頻繁存入多筆款項之交易保證金或權利金，且迅速移轉者。</w:t>
      </w:r>
    </w:p>
    <w:p w:rsidR="00C42368" w:rsidRDefault="00C42368" w:rsidP="00C42368">
      <w:pPr>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（五）</w:t>
      </w:r>
      <w:r w:rsidR="00844149" w:rsidRPr="00B22327">
        <w:rPr>
          <w:rFonts w:ascii="標楷體" w:eastAsia="標楷體" w:hAnsi="標楷體" w:hint="eastAsia"/>
          <w:sz w:val="28"/>
          <w:szCs w:val="28"/>
        </w:rPr>
        <w:t>同一交易人頻繁於數個不同約定存款帳戶間存入、提領交易保證金或權利金，金額達特定金額以上者。</w:t>
      </w:r>
    </w:p>
    <w:p w:rsidR="00844149" w:rsidRPr="00B22327" w:rsidRDefault="00C42368" w:rsidP="00C42368">
      <w:pPr>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（六）</w:t>
      </w:r>
      <w:r w:rsidR="00844149" w:rsidRPr="00B22327">
        <w:rPr>
          <w:rFonts w:ascii="標楷體" w:eastAsia="標楷體" w:hAnsi="標楷體" w:hint="eastAsia"/>
          <w:sz w:val="28"/>
          <w:szCs w:val="28"/>
        </w:rPr>
        <w:t>期貨商擔任期信基金銷售機構或辦理共同行銷，發現交易人有大額資金在各金融商品間迅速移轉，顯有異常者。</w:t>
      </w:r>
    </w:p>
    <w:p w:rsidR="00842567" w:rsidRPr="00B22327" w:rsidRDefault="00842567" w:rsidP="00842567">
      <w:pPr>
        <w:tabs>
          <w:tab w:val="left" w:pos="567"/>
        </w:tabs>
        <w:spacing w:line="480" w:lineRule="exact"/>
        <w:ind w:left="561" w:hangingChars="200" w:hanging="561"/>
        <w:rPr>
          <w:rFonts w:ascii="標楷體" w:eastAsia="標楷體" w:hAnsi="標楷體"/>
          <w:b/>
          <w:sz w:val="28"/>
          <w:szCs w:val="28"/>
        </w:rPr>
      </w:pPr>
      <w:r w:rsidRPr="00B22327">
        <w:rPr>
          <w:rFonts w:ascii="標楷體" w:eastAsia="標楷體" w:hAnsi="標楷體" w:hint="eastAsia"/>
          <w:b/>
          <w:sz w:val="28"/>
          <w:szCs w:val="28"/>
        </w:rPr>
        <w:t>四、與資恐有關者：</w:t>
      </w:r>
    </w:p>
    <w:p w:rsidR="00C42368" w:rsidRDefault="00C42368" w:rsidP="00C42368">
      <w:pPr>
        <w:tabs>
          <w:tab w:val="left" w:pos="567"/>
        </w:tabs>
        <w:spacing w:line="480" w:lineRule="exact"/>
        <w:ind w:left="840" w:hangingChars="300" w:hanging="840"/>
        <w:rPr>
          <w:rFonts w:ascii="標楷體" w:eastAsia="標楷體" w:hAnsi="標楷體"/>
          <w:sz w:val="28"/>
          <w:szCs w:val="28"/>
        </w:rPr>
      </w:pPr>
      <w:r w:rsidRPr="00C42368">
        <w:rPr>
          <w:rFonts w:ascii="標楷體" w:eastAsia="標楷體" w:hAnsi="標楷體" w:hint="eastAsia"/>
          <w:sz w:val="28"/>
          <w:szCs w:val="28"/>
        </w:rPr>
        <w:t>（</w:t>
      </w:r>
      <w:r>
        <w:rPr>
          <w:rFonts w:ascii="標楷體" w:eastAsia="標楷體" w:hAnsi="標楷體" w:hint="eastAsia"/>
          <w:sz w:val="28"/>
          <w:szCs w:val="28"/>
        </w:rPr>
        <w:t>一</w:t>
      </w:r>
      <w:r w:rsidRPr="00C42368">
        <w:rPr>
          <w:rFonts w:ascii="標楷體" w:eastAsia="標楷體" w:hAnsi="標楷體" w:hint="eastAsia"/>
          <w:sz w:val="28"/>
          <w:szCs w:val="28"/>
        </w:rPr>
        <w:t>）</w:t>
      </w:r>
      <w:r w:rsidR="006B6EE4" w:rsidRPr="00C42368">
        <w:rPr>
          <w:rFonts w:ascii="標楷體" w:eastAsia="標楷體" w:hAnsi="標楷體" w:hint="eastAsia"/>
          <w:sz w:val="28"/>
          <w:szCs w:val="28"/>
        </w:rPr>
        <w:t>客戶本人、代理人、結算者或實質受益人為金管會函轉外國政府或國際組織所提供之恐怖活動或資恐相關個人、法人或團體；或外國政府或國際組織認定或追查之恐怖組織者。</w:t>
      </w:r>
    </w:p>
    <w:p w:rsidR="00C42368" w:rsidRDefault="00C42368" w:rsidP="00C42368">
      <w:pPr>
        <w:tabs>
          <w:tab w:val="left" w:pos="567"/>
        </w:tabs>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（二）</w:t>
      </w:r>
      <w:r w:rsidR="006B6EE4" w:rsidRPr="00B22327">
        <w:rPr>
          <w:rFonts w:ascii="標楷體" w:eastAsia="標楷體" w:hAnsi="標楷體" w:hint="eastAsia"/>
          <w:sz w:val="28"/>
          <w:szCs w:val="28"/>
        </w:rPr>
        <w:t>交易對象為金管會函轉外國政府或國際組織所提供之恐怖活動或資恐相關個人、法人或團體；或外國政府或國際組織認定或追查之恐怖組織者。</w:t>
      </w:r>
    </w:p>
    <w:p w:rsidR="00842567" w:rsidRPr="00B22327" w:rsidRDefault="00C42368" w:rsidP="00C42368">
      <w:pPr>
        <w:tabs>
          <w:tab w:val="left" w:pos="567"/>
        </w:tabs>
        <w:spacing w:line="480" w:lineRule="exact"/>
        <w:ind w:left="840" w:hangingChars="300" w:hanging="840"/>
        <w:rPr>
          <w:rFonts w:ascii="標楷體" w:eastAsia="標楷體" w:hAnsi="標楷體"/>
          <w:sz w:val="28"/>
          <w:szCs w:val="28"/>
        </w:rPr>
      </w:pPr>
      <w:r>
        <w:rPr>
          <w:rFonts w:ascii="標楷體" w:eastAsia="標楷體" w:hAnsi="標楷體" w:hint="eastAsia"/>
          <w:sz w:val="28"/>
          <w:szCs w:val="28"/>
        </w:rPr>
        <w:t>（三）</w:t>
      </w:r>
      <w:r w:rsidR="00844149" w:rsidRPr="00B22327">
        <w:rPr>
          <w:rFonts w:ascii="標楷體" w:eastAsia="標楷體" w:hAnsi="標楷體" w:hint="eastAsia"/>
          <w:sz w:val="28"/>
          <w:szCs w:val="28"/>
        </w:rPr>
        <w:t>其他疑似或有合理理由懷疑與恐怖活動、恐怖組織或資恐有關聯者。</w:t>
      </w:r>
    </w:p>
    <w:p w:rsidR="00A72DFD" w:rsidRPr="00B22327" w:rsidRDefault="00A72DFD" w:rsidP="00844149">
      <w:pPr>
        <w:tabs>
          <w:tab w:val="left" w:pos="567"/>
        </w:tabs>
        <w:spacing w:line="480" w:lineRule="exact"/>
        <w:ind w:left="561" w:hangingChars="200" w:hanging="561"/>
        <w:rPr>
          <w:rFonts w:ascii="標楷體" w:eastAsia="標楷體" w:hAnsi="標楷體"/>
          <w:b/>
          <w:color w:val="000000" w:themeColor="text1"/>
          <w:sz w:val="28"/>
          <w:szCs w:val="28"/>
        </w:rPr>
      </w:pPr>
      <w:r w:rsidRPr="00B22327">
        <w:rPr>
          <w:rFonts w:ascii="標楷體" w:eastAsia="標楷體" w:hAnsi="標楷體" w:hint="eastAsia"/>
          <w:b/>
          <w:color w:val="000000" w:themeColor="text1"/>
          <w:sz w:val="28"/>
          <w:szCs w:val="28"/>
        </w:rPr>
        <w:t>五、與武擴有關者：</w:t>
      </w:r>
    </w:p>
    <w:p w:rsidR="00C42368" w:rsidRDefault="00C42368" w:rsidP="00C42368">
      <w:pPr>
        <w:tabs>
          <w:tab w:val="left" w:pos="567"/>
        </w:tabs>
        <w:spacing w:line="480" w:lineRule="exact"/>
        <w:ind w:left="840" w:hangingChars="300" w:hanging="840"/>
        <w:rPr>
          <w:rFonts w:ascii="標楷體" w:eastAsia="標楷體" w:hAnsi="標楷體"/>
          <w:color w:val="000000" w:themeColor="text1"/>
          <w:sz w:val="28"/>
          <w:szCs w:val="28"/>
        </w:rPr>
      </w:pPr>
      <w:r w:rsidRPr="00C42368">
        <w:rPr>
          <w:rFonts w:ascii="標楷體" w:eastAsia="標楷體" w:hAnsi="標楷體" w:hint="eastAsia"/>
          <w:color w:val="000000" w:themeColor="text1"/>
          <w:sz w:val="28"/>
          <w:szCs w:val="28"/>
        </w:rPr>
        <w:t>（一）</w:t>
      </w:r>
      <w:r w:rsidR="006B6EE4" w:rsidRPr="00C42368">
        <w:rPr>
          <w:rFonts w:ascii="標楷體" w:eastAsia="標楷體" w:hAnsi="標楷體" w:hint="eastAsia"/>
          <w:color w:val="000000" w:themeColor="text1"/>
          <w:sz w:val="28"/>
          <w:szCs w:val="28"/>
        </w:rPr>
        <w:t>客戶本人、代理人、結算者或實質受益人為金管會函轉外國政府或國際組織所提供之資助武擴目標性金融制裁之個人、法人或團體；或</w:t>
      </w:r>
      <w:r w:rsidR="00667F96" w:rsidRPr="00C42368">
        <w:rPr>
          <w:rFonts w:ascii="標楷體" w:eastAsia="標楷體" w:hAnsi="標楷體" w:hint="eastAsia"/>
          <w:color w:val="000000" w:themeColor="text1"/>
          <w:sz w:val="28"/>
          <w:szCs w:val="28"/>
        </w:rPr>
        <w:t>外國政府或</w:t>
      </w:r>
      <w:r w:rsidR="006B6EE4" w:rsidRPr="00C42368">
        <w:rPr>
          <w:rFonts w:ascii="標楷體" w:eastAsia="標楷體" w:hAnsi="標楷體" w:hint="eastAsia"/>
          <w:color w:val="000000" w:themeColor="text1"/>
          <w:sz w:val="28"/>
          <w:szCs w:val="28"/>
        </w:rPr>
        <w:t>國際組織認定或追查之資助武擴者。</w:t>
      </w:r>
    </w:p>
    <w:p w:rsidR="00C42368" w:rsidRDefault="00C42368" w:rsidP="00C42368">
      <w:pPr>
        <w:tabs>
          <w:tab w:val="left" w:pos="567"/>
        </w:tabs>
        <w:spacing w:line="48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B6EE4" w:rsidRPr="00C42368">
        <w:rPr>
          <w:rFonts w:ascii="標楷體" w:eastAsia="標楷體" w:hAnsi="標楷體" w:hint="eastAsia"/>
          <w:color w:val="000000" w:themeColor="text1"/>
          <w:sz w:val="28"/>
          <w:szCs w:val="28"/>
        </w:rPr>
        <w:t>交易對象為金管會函轉外國政府或國際組織所提供之資助武擴目標性金融制裁之個人、法人或團體；或外國政府或國際組織認定或追</w:t>
      </w:r>
      <w:r w:rsidR="006B6EE4" w:rsidRPr="00C42368">
        <w:rPr>
          <w:rFonts w:ascii="標楷體" w:eastAsia="標楷體" w:hAnsi="標楷體" w:hint="eastAsia"/>
          <w:color w:val="000000" w:themeColor="text1"/>
          <w:sz w:val="28"/>
          <w:szCs w:val="28"/>
        </w:rPr>
        <w:lastRenderedPageBreak/>
        <w:t>查之資助武擴者。</w:t>
      </w:r>
    </w:p>
    <w:p w:rsidR="00844149" w:rsidRPr="00B22327" w:rsidRDefault="00C42368" w:rsidP="00C42368">
      <w:pPr>
        <w:tabs>
          <w:tab w:val="left" w:pos="567"/>
        </w:tabs>
        <w:spacing w:line="48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844149" w:rsidRPr="00B22327">
        <w:rPr>
          <w:rFonts w:ascii="標楷體" w:eastAsia="標楷體" w:hAnsi="標楷體" w:hint="eastAsia"/>
          <w:color w:val="000000" w:themeColor="text1"/>
          <w:sz w:val="28"/>
          <w:szCs w:val="28"/>
        </w:rPr>
        <w:t>其他疑似或有合理理由懷疑與資助武擴有關聯者。</w:t>
      </w:r>
    </w:p>
    <w:p w:rsidR="00A72DFD" w:rsidRPr="00A72DFD" w:rsidRDefault="00A72DFD" w:rsidP="00A72DFD">
      <w:pPr>
        <w:tabs>
          <w:tab w:val="left" w:pos="567"/>
        </w:tabs>
        <w:spacing w:line="480" w:lineRule="exact"/>
        <w:ind w:left="560" w:hangingChars="200" w:hanging="560"/>
        <w:rPr>
          <w:rFonts w:ascii="標楷體" w:eastAsia="標楷體" w:hAnsi="標楷體"/>
          <w:color w:val="000000" w:themeColor="text1"/>
          <w:sz w:val="28"/>
          <w:szCs w:val="28"/>
        </w:rPr>
      </w:pPr>
    </w:p>
    <w:sectPr w:rsidR="00A72DFD" w:rsidRPr="00A72DFD" w:rsidSect="00C42368">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8B" w:rsidRDefault="004C1E8B" w:rsidP="003648D7">
      <w:r>
        <w:separator/>
      </w:r>
    </w:p>
  </w:endnote>
  <w:endnote w:type="continuationSeparator" w:id="0">
    <w:p w:rsidR="004C1E8B" w:rsidRDefault="004C1E8B" w:rsidP="0036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41272"/>
      <w:docPartObj>
        <w:docPartGallery w:val="Page Numbers (Bottom of Page)"/>
        <w:docPartUnique/>
      </w:docPartObj>
    </w:sdtPr>
    <w:sdtEndPr/>
    <w:sdtContent>
      <w:p w:rsidR="000D3744" w:rsidRDefault="000D3744">
        <w:pPr>
          <w:pStyle w:val="a7"/>
          <w:jc w:val="center"/>
        </w:pPr>
        <w:r>
          <w:fldChar w:fldCharType="begin"/>
        </w:r>
        <w:r>
          <w:instrText>PAGE   \* MERGEFORMAT</w:instrText>
        </w:r>
        <w:r>
          <w:fldChar w:fldCharType="separate"/>
        </w:r>
        <w:r w:rsidR="00E00AE1" w:rsidRPr="00E00AE1">
          <w:rPr>
            <w:noProof/>
            <w:lang w:val="zh-TW"/>
          </w:rPr>
          <w:t>1</w:t>
        </w:r>
        <w:r>
          <w:fldChar w:fldCharType="end"/>
        </w:r>
      </w:p>
    </w:sdtContent>
  </w:sdt>
  <w:p w:rsidR="000D3744" w:rsidRDefault="000D37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8B" w:rsidRDefault="004C1E8B" w:rsidP="003648D7">
      <w:r>
        <w:separator/>
      </w:r>
    </w:p>
  </w:footnote>
  <w:footnote w:type="continuationSeparator" w:id="0">
    <w:p w:rsidR="004C1E8B" w:rsidRDefault="004C1E8B" w:rsidP="0036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918"/>
    <w:multiLevelType w:val="hybridMultilevel"/>
    <w:tmpl w:val="DB3ACDBE"/>
    <w:lvl w:ilvl="0" w:tplc="ACF0E816">
      <w:start w:val="1"/>
      <w:numFmt w:val="decimal"/>
      <w:lvlText w:val="%1."/>
      <w:lvlJc w:val="left"/>
      <w:pPr>
        <w:ind w:left="924" w:hanging="360"/>
      </w:pPr>
      <w:rPr>
        <w:rFonts w:ascii="標楷體" w:eastAsia="標楷體" w:hAnsi="標楷體" w:cs="Times New Roman"/>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05164269"/>
    <w:multiLevelType w:val="hybridMultilevel"/>
    <w:tmpl w:val="7DBC0C2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95B1DE5"/>
    <w:multiLevelType w:val="hybridMultilevel"/>
    <w:tmpl w:val="8C04E804"/>
    <w:lvl w:ilvl="0" w:tplc="A184B0A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0D7821"/>
    <w:multiLevelType w:val="hybridMultilevel"/>
    <w:tmpl w:val="C112671E"/>
    <w:lvl w:ilvl="0" w:tplc="FCBEBAD6">
      <w:start w:val="4"/>
      <w:numFmt w:val="decimal"/>
      <w:lvlText w:val="%1."/>
      <w:lvlJc w:val="left"/>
      <w:pPr>
        <w:ind w:left="10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57A00"/>
    <w:multiLevelType w:val="hybridMultilevel"/>
    <w:tmpl w:val="F498200A"/>
    <w:lvl w:ilvl="0" w:tplc="937CA2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171397"/>
    <w:multiLevelType w:val="hybridMultilevel"/>
    <w:tmpl w:val="61F08D76"/>
    <w:lvl w:ilvl="0" w:tplc="81DEBC36">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836E4"/>
    <w:multiLevelType w:val="hybridMultilevel"/>
    <w:tmpl w:val="4E4871DE"/>
    <w:lvl w:ilvl="0" w:tplc="7C5E93D8">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15:restartNumberingAfterBreak="0">
    <w:nsid w:val="23CD2287"/>
    <w:multiLevelType w:val="hybridMultilevel"/>
    <w:tmpl w:val="9E1AF2FC"/>
    <w:lvl w:ilvl="0" w:tplc="0BD082D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6B715A"/>
    <w:multiLevelType w:val="hybridMultilevel"/>
    <w:tmpl w:val="C5F83578"/>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278A12BE"/>
    <w:multiLevelType w:val="hybridMultilevel"/>
    <w:tmpl w:val="76D8D8AE"/>
    <w:lvl w:ilvl="0" w:tplc="0409000F">
      <w:start w:val="1"/>
      <w:numFmt w:val="decimal"/>
      <w:lvlText w:val="%1."/>
      <w:lvlJc w:val="left"/>
      <w:pPr>
        <w:ind w:left="1065" w:hanging="480"/>
      </w:pPr>
    </w:lvl>
    <w:lvl w:ilvl="1" w:tplc="04090019">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 w15:restartNumberingAfterBreak="0">
    <w:nsid w:val="2C7B2C63"/>
    <w:multiLevelType w:val="hybridMultilevel"/>
    <w:tmpl w:val="4E7433C0"/>
    <w:lvl w:ilvl="0" w:tplc="0BD082DE">
      <w:start w:val="1"/>
      <w:numFmt w:val="taiwaneseCountingThousand"/>
      <w:lvlText w:val="(%1)"/>
      <w:lvlJc w:val="left"/>
      <w:pPr>
        <w:ind w:left="1898" w:hanging="480"/>
      </w:pPr>
      <w:rPr>
        <w:rFonts w:hint="default"/>
      </w:rPr>
    </w:lvl>
    <w:lvl w:ilvl="1" w:tplc="B88C53BA">
      <w:start w:val="1"/>
      <w:numFmt w:val="decimal"/>
      <w:lvlText w:val="%2、"/>
      <w:lvlJc w:val="left"/>
      <w:pPr>
        <w:ind w:left="1789" w:hanging="480"/>
      </w:pPr>
      <w:rPr>
        <w:rFonts w:hint="default"/>
        <w:b w:val="0"/>
      </w:r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1" w15:restartNumberingAfterBreak="0">
    <w:nsid w:val="2E077402"/>
    <w:multiLevelType w:val="multilevel"/>
    <w:tmpl w:val="9B14FC24"/>
    <w:lvl w:ilvl="0">
      <w:start w:val="1"/>
      <w:numFmt w:val="taiwaneseCountingThousand"/>
      <w:pStyle w:val="a"/>
      <w:suff w:val="nothing"/>
      <w:lvlText w:val="%1、"/>
      <w:lvlJc w:val="left"/>
      <w:pPr>
        <w:ind w:left="652" w:hanging="652"/>
      </w:pPr>
      <w:rPr>
        <w:rFonts w:ascii="標楷體" w:eastAsia="標楷體" w:hint="eastAsia"/>
        <w:b w:val="0"/>
        <w:i w:val="0"/>
        <w:sz w:val="32"/>
        <w:lang w:val="en-US"/>
      </w:rPr>
    </w:lvl>
    <w:lvl w:ilvl="1">
      <w:start w:val="1"/>
      <w:numFmt w:val="taiwaneseCountingThousand"/>
      <w:suff w:val="nothing"/>
      <w:lvlText w:val="(%2)"/>
      <w:lvlJc w:val="left"/>
      <w:pPr>
        <w:ind w:left="1252" w:hanging="652"/>
      </w:pPr>
      <w:rPr>
        <w:rFonts w:ascii="標楷體" w:eastAsia="標楷體" w:hint="eastAsia"/>
        <w:b w:val="0"/>
        <w:i w:val="0"/>
        <w:sz w:val="32"/>
      </w:rPr>
    </w:lvl>
    <w:lvl w:ilvl="2">
      <w:start w:val="1"/>
      <w:numFmt w:val="decimalFullWidth"/>
      <w:suff w:val="nothing"/>
      <w:lvlText w:val="%3、"/>
      <w:lvlJc w:val="left"/>
      <w:pPr>
        <w:ind w:left="2059" w:hanging="641"/>
      </w:pPr>
      <w:rPr>
        <w:rFonts w:ascii="標楷體" w:eastAsia="標楷體" w:hint="eastAsia"/>
        <w:b w:val="0"/>
        <w:i w:val="0"/>
        <w:sz w:val="32"/>
        <w:lang w:val="en-US"/>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340F67F1"/>
    <w:multiLevelType w:val="hybridMultilevel"/>
    <w:tmpl w:val="15B8B660"/>
    <w:lvl w:ilvl="0" w:tplc="7742B5BA">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3" w15:restartNumberingAfterBreak="0">
    <w:nsid w:val="378B06C0"/>
    <w:multiLevelType w:val="hybridMultilevel"/>
    <w:tmpl w:val="E17E6076"/>
    <w:lvl w:ilvl="0" w:tplc="C2E45DB2">
      <w:start w:val="1"/>
      <w:numFmt w:val="taiwaneseCountingThousand"/>
      <w:lvlText w:val="（%1）"/>
      <w:lvlJc w:val="left"/>
      <w:pPr>
        <w:ind w:left="871" w:hanging="871"/>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B123C1"/>
    <w:multiLevelType w:val="hybridMultilevel"/>
    <w:tmpl w:val="19FEA36A"/>
    <w:lvl w:ilvl="0" w:tplc="A48ABBEE">
      <w:start w:val="1"/>
      <w:numFmt w:val="decimal"/>
      <w:lvlText w:val="%1."/>
      <w:lvlJc w:val="left"/>
      <w:pPr>
        <w:ind w:left="916" w:hanging="36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5" w15:restartNumberingAfterBreak="0">
    <w:nsid w:val="3BA43BFD"/>
    <w:multiLevelType w:val="hybridMultilevel"/>
    <w:tmpl w:val="F06265E6"/>
    <w:lvl w:ilvl="0" w:tplc="42401FF2">
      <w:start w:val="1"/>
      <w:numFmt w:val="decimal"/>
      <w:suff w:val="nothing"/>
      <w:lvlText w:val="%1."/>
      <w:lvlJc w:val="left"/>
      <w:pPr>
        <w:ind w:left="960" w:hanging="360"/>
      </w:pPr>
      <w:rPr>
        <w:rFonts w:ascii="標楷體" w:eastAsia="標楷體" w:hAnsi="標楷體" w:hint="default"/>
        <w:b w:val="0"/>
        <w:sz w:val="28"/>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50DA791A"/>
    <w:multiLevelType w:val="hybridMultilevel"/>
    <w:tmpl w:val="56C0872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52A265E8"/>
    <w:multiLevelType w:val="hybridMultilevel"/>
    <w:tmpl w:val="680E48C2"/>
    <w:lvl w:ilvl="0" w:tplc="2EA86C8A">
      <w:start w:val="7"/>
      <w:numFmt w:val="decimal"/>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53314D68"/>
    <w:multiLevelType w:val="hybridMultilevel"/>
    <w:tmpl w:val="927C0D6C"/>
    <w:lvl w:ilvl="0" w:tplc="EFE26C96">
      <w:start w:val="1"/>
      <w:numFmt w:val="decimal"/>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15:restartNumberingAfterBreak="0">
    <w:nsid w:val="563E51B8"/>
    <w:multiLevelType w:val="hybridMultilevel"/>
    <w:tmpl w:val="9AE01BC2"/>
    <w:lvl w:ilvl="0" w:tplc="0BD082D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21105A"/>
    <w:multiLevelType w:val="hybridMultilevel"/>
    <w:tmpl w:val="31248558"/>
    <w:lvl w:ilvl="0" w:tplc="9AA88F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10419D"/>
    <w:multiLevelType w:val="hybridMultilevel"/>
    <w:tmpl w:val="34785A7A"/>
    <w:lvl w:ilvl="0" w:tplc="2D403FFC">
      <w:start w:val="1"/>
      <w:numFmt w:val="taiwaneseCountingThousand"/>
      <w:lvlText w:val="(%1)"/>
      <w:lvlJc w:val="left"/>
      <w:pPr>
        <w:ind w:left="1305" w:hanging="72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2" w15:restartNumberingAfterBreak="0">
    <w:nsid w:val="5DAF5F7F"/>
    <w:multiLevelType w:val="hybridMultilevel"/>
    <w:tmpl w:val="7EB094E2"/>
    <w:lvl w:ilvl="0" w:tplc="91C0DA4A">
      <w:start w:val="1"/>
      <w:numFmt w:val="taiwaneseCountingThousand"/>
      <w:lvlText w:val="%1、"/>
      <w:lvlJc w:val="left"/>
      <w:pPr>
        <w:ind w:left="1615" w:hanging="480"/>
      </w:pPr>
      <w:rPr>
        <w:rFonts w:ascii="標楷體" w:eastAsia="標楷體" w:hAnsi="標楷體"/>
        <w:sz w:val="28"/>
        <w:szCs w:val="28"/>
        <w:lang w:val="x-none"/>
      </w:rPr>
    </w:lvl>
    <w:lvl w:ilvl="1" w:tplc="75C68FE8">
      <w:start w:val="1"/>
      <w:numFmt w:val="decimal"/>
      <w:lvlText w:val="%2、"/>
      <w:lvlJc w:val="left"/>
      <w:pPr>
        <w:ind w:left="1200" w:hanging="720"/>
      </w:pPr>
      <w:rPr>
        <w:rFonts w:hint="default"/>
      </w:rPr>
    </w:lvl>
    <w:lvl w:ilvl="2" w:tplc="0BD082DE">
      <w:start w:val="1"/>
      <w:numFmt w:val="taiwaneseCountingThousand"/>
      <w:lvlText w:val="(%3)"/>
      <w:lvlJc w:val="left"/>
      <w:pPr>
        <w:ind w:left="72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9F25EC"/>
    <w:multiLevelType w:val="hybridMultilevel"/>
    <w:tmpl w:val="36D288C8"/>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0031D9A"/>
    <w:multiLevelType w:val="hybridMultilevel"/>
    <w:tmpl w:val="36E661D0"/>
    <w:lvl w:ilvl="0" w:tplc="6C987E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014A1A"/>
    <w:multiLevelType w:val="hybridMultilevel"/>
    <w:tmpl w:val="FEDA8D3C"/>
    <w:lvl w:ilvl="0" w:tplc="236A18E8">
      <w:start w:val="1"/>
      <w:numFmt w:val="taiwaneseCountingThousand"/>
      <w:lvlText w:val="（%1）"/>
      <w:lvlJc w:val="left"/>
      <w:pPr>
        <w:ind w:left="480"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B3822"/>
    <w:multiLevelType w:val="hybridMultilevel"/>
    <w:tmpl w:val="99B2C768"/>
    <w:lvl w:ilvl="0" w:tplc="13C49AF4">
      <w:start w:val="1"/>
      <w:numFmt w:val="taiwaneseCountingThousand"/>
      <w:lvlText w:val="（%1）"/>
      <w:lvlJc w:val="left"/>
      <w:pPr>
        <w:ind w:left="480" w:hanging="480"/>
      </w:pPr>
      <w:rPr>
        <w:rFonts w:hint="default"/>
        <w:u w:val="none"/>
        <w:lang w:val="en-US"/>
      </w:rPr>
    </w:lvl>
    <w:lvl w:ilvl="1" w:tplc="04090019" w:tentative="1">
      <w:start w:val="1"/>
      <w:numFmt w:val="ideographTraditional"/>
      <w:lvlText w:val="%2、"/>
      <w:lvlJc w:val="left"/>
      <w:pPr>
        <w:ind w:left="960" w:hanging="480"/>
      </w:pPr>
    </w:lvl>
    <w:lvl w:ilvl="2" w:tplc="0BD082DE">
      <w:start w:val="1"/>
      <w:numFmt w:val="taiwaneseCountingThousand"/>
      <w:lvlText w:val="(%3)"/>
      <w:lvlJc w:val="left"/>
      <w:pPr>
        <w:ind w:left="1047"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0B612F"/>
    <w:multiLevelType w:val="multilevel"/>
    <w:tmpl w:val="47A63856"/>
    <w:lvl w:ilvl="0">
      <w:start w:val="1"/>
      <w:numFmt w:val="decimal"/>
      <w:lvlText w:val="%1."/>
      <w:lvlJc w:val="left"/>
      <w:pPr>
        <w:ind w:left="960" w:hanging="360"/>
      </w:pPr>
      <w:rPr>
        <w:rFonts w:ascii="標楷體" w:eastAsia="標楷體" w:hAnsi="標楷體"/>
        <w:b w:val="0"/>
        <w:sz w:val="28"/>
        <w:szCs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4"/>
  </w:num>
  <w:num w:numId="2">
    <w:abstractNumId w:val="21"/>
  </w:num>
  <w:num w:numId="3">
    <w:abstractNumId w:val="12"/>
  </w:num>
  <w:num w:numId="4">
    <w:abstractNumId w:val="2"/>
  </w:num>
  <w:num w:numId="5">
    <w:abstractNumId w:val="22"/>
  </w:num>
  <w:num w:numId="6">
    <w:abstractNumId w:val="24"/>
  </w:num>
  <w:num w:numId="7">
    <w:abstractNumId w:val="25"/>
  </w:num>
  <w:num w:numId="8">
    <w:abstractNumId w:val="9"/>
  </w:num>
  <w:num w:numId="9">
    <w:abstractNumId w:val="11"/>
  </w:num>
  <w:num w:numId="10">
    <w:abstractNumId w:val="26"/>
  </w:num>
  <w:num w:numId="11">
    <w:abstractNumId w:val="11"/>
  </w:num>
  <w:num w:numId="12">
    <w:abstractNumId w:val="10"/>
  </w:num>
  <w:num w:numId="13">
    <w:abstractNumId w:val="11"/>
  </w:num>
  <w:num w:numId="14">
    <w:abstractNumId w:val="6"/>
  </w:num>
  <w:num w:numId="15">
    <w:abstractNumId w:val="0"/>
  </w:num>
  <w:num w:numId="16">
    <w:abstractNumId w:val="15"/>
  </w:num>
  <w:num w:numId="17">
    <w:abstractNumId w:val="18"/>
  </w:num>
  <w:num w:numId="18">
    <w:abstractNumId w:val="8"/>
  </w:num>
  <w:num w:numId="19">
    <w:abstractNumId w:val="23"/>
  </w:num>
  <w:num w:numId="20">
    <w:abstractNumId w:val="3"/>
  </w:num>
  <w:num w:numId="21">
    <w:abstractNumId w:val="17"/>
  </w:num>
  <w:num w:numId="22">
    <w:abstractNumId w:val="5"/>
  </w:num>
  <w:num w:numId="23">
    <w:abstractNumId w:val="7"/>
  </w:num>
  <w:num w:numId="24">
    <w:abstractNumId w:val="20"/>
  </w:num>
  <w:num w:numId="25">
    <w:abstractNumId w:val="19"/>
  </w:num>
  <w:num w:numId="26">
    <w:abstractNumId w:val="1"/>
  </w:num>
  <w:num w:numId="27">
    <w:abstractNumId w:val="16"/>
  </w:num>
  <w:num w:numId="28">
    <w:abstractNumId w:val="14"/>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17"/>
    <w:rsid w:val="00005957"/>
    <w:rsid w:val="000613DA"/>
    <w:rsid w:val="000A4606"/>
    <w:rsid w:val="000D3744"/>
    <w:rsid w:val="000D5611"/>
    <w:rsid w:val="000D6C3B"/>
    <w:rsid w:val="0010580A"/>
    <w:rsid w:val="00150449"/>
    <w:rsid w:val="00152AF1"/>
    <w:rsid w:val="00153B52"/>
    <w:rsid w:val="00180D46"/>
    <w:rsid w:val="001B1E0B"/>
    <w:rsid w:val="001C0EC1"/>
    <w:rsid w:val="001F7980"/>
    <w:rsid w:val="00212CF9"/>
    <w:rsid w:val="002150D9"/>
    <w:rsid w:val="00227E35"/>
    <w:rsid w:val="002602EC"/>
    <w:rsid w:val="00266930"/>
    <w:rsid w:val="002740E3"/>
    <w:rsid w:val="00276C6E"/>
    <w:rsid w:val="002C0A36"/>
    <w:rsid w:val="00301D0B"/>
    <w:rsid w:val="00336B5A"/>
    <w:rsid w:val="00337DEE"/>
    <w:rsid w:val="003648D7"/>
    <w:rsid w:val="003818DC"/>
    <w:rsid w:val="003911E5"/>
    <w:rsid w:val="00410595"/>
    <w:rsid w:val="00432921"/>
    <w:rsid w:val="00440142"/>
    <w:rsid w:val="00450E85"/>
    <w:rsid w:val="004C1E8B"/>
    <w:rsid w:val="004C2B36"/>
    <w:rsid w:val="004E5DAE"/>
    <w:rsid w:val="00525837"/>
    <w:rsid w:val="00531A1E"/>
    <w:rsid w:val="00532910"/>
    <w:rsid w:val="00542F05"/>
    <w:rsid w:val="00544186"/>
    <w:rsid w:val="005471B3"/>
    <w:rsid w:val="00562545"/>
    <w:rsid w:val="00580F89"/>
    <w:rsid w:val="005929E3"/>
    <w:rsid w:val="005A754E"/>
    <w:rsid w:val="005E54E5"/>
    <w:rsid w:val="00614CEB"/>
    <w:rsid w:val="00617017"/>
    <w:rsid w:val="00617520"/>
    <w:rsid w:val="006178B5"/>
    <w:rsid w:val="00646412"/>
    <w:rsid w:val="00654362"/>
    <w:rsid w:val="00657656"/>
    <w:rsid w:val="00667E0E"/>
    <w:rsid w:val="00667F96"/>
    <w:rsid w:val="0068077E"/>
    <w:rsid w:val="006A251C"/>
    <w:rsid w:val="006A5385"/>
    <w:rsid w:val="006B6EE4"/>
    <w:rsid w:val="006D1263"/>
    <w:rsid w:val="006F62C1"/>
    <w:rsid w:val="00724E82"/>
    <w:rsid w:val="0073393B"/>
    <w:rsid w:val="007411F1"/>
    <w:rsid w:val="00780FBB"/>
    <w:rsid w:val="007A2ED9"/>
    <w:rsid w:val="007B515A"/>
    <w:rsid w:val="007C1F58"/>
    <w:rsid w:val="007F4259"/>
    <w:rsid w:val="00842567"/>
    <w:rsid w:val="00844149"/>
    <w:rsid w:val="008771B3"/>
    <w:rsid w:val="00894D4F"/>
    <w:rsid w:val="008D2419"/>
    <w:rsid w:val="008E2B10"/>
    <w:rsid w:val="0090591E"/>
    <w:rsid w:val="00905F32"/>
    <w:rsid w:val="00973701"/>
    <w:rsid w:val="0097505B"/>
    <w:rsid w:val="00992C9A"/>
    <w:rsid w:val="00995972"/>
    <w:rsid w:val="009A0890"/>
    <w:rsid w:val="009E63BE"/>
    <w:rsid w:val="009E76A8"/>
    <w:rsid w:val="00A062C3"/>
    <w:rsid w:val="00A120D0"/>
    <w:rsid w:val="00A20E88"/>
    <w:rsid w:val="00A22518"/>
    <w:rsid w:val="00A45AD7"/>
    <w:rsid w:val="00A501B9"/>
    <w:rsid w:val="00A72DFD"/>
    <w:rsid w:val="00A7370E"/>
    <w:rsid w:val="00B22327"/>
    <w:rsid w:val="00B24F00"/>
    <w:rsid w:val="00B3199F"/>
    <w:rsid w:val="00B343E2"/>
    <w:rsid w:val="00B5201E"/>
    <w:rsid w:val="00BC43EC"/>
    <w:rsid w:val="00BE0AC1"/>
    <w:rsid w:val="00BF7033"/>
    <w:rsid w:val="00C04904"/>
    <w:rsid w:val="00C37631"/>
    <w:rsid w:val="00C40EA5"/>
    <w:rsid w:val="00C42368"/>
    <w:rsid w:val="00C55101"/>
    <w:rsid w:val="00C90EAA"/>
    <w:rsid w:val="00D11FF3"/>
    <w:rsid w:val="00D17B08"/>
    <w:rsid w:val="00D32863"/>
    <w:rsid w:val="00D43B0B"/>
    <w:rsid w:val="00D71883"/>
    <w:rsid w:val="00D72A59"/>
    <w:rsid w:val="00D733E1"/>
    <w:rsid w:val="00D778AA"/>
    <w:rsid w:val="00DB09BB"/>
    <w:rsid w:val="00DB7C5B"/>
    <w:rsid w:val="00DC6806"/>
    <w:rsid w:val="00DD0CC8"/>
    <w:rsid w:val="00DE15CD"/>
    <w:rsid w:val="00DF2758"/>
    <w:rsid w:val="00E00AE1"/>
    <w:rsid w:val="00E20A27"/>
    <w:rsid w:val="00E23569"/>
    <w:rsid w:val="00E349D3"/>
    <w:rsid w:val="00E47B15"/>
    <w:rsid w:val="00E605E6"/>
    <w:rsid w:val="00E86C7C"/>
    <w:rsid w:val="00E8745D"/>
    <w:rsid w:val="00E931EA"/>
    <w:rsid w:val="00E9357B"/>
    <w:rsid w:val="00EA2A3B"/>
    <w:rsid w:val="00EC0175"/>
    <w:rsid w:val="00ED6DEB"/>
    <w:rsid w:val="00EE5639"/>
    <w:rsid w:val="00F3786B"/>
    <w:rsid w:val="00F66679"/>
    <w:rsid w:val="00F726DE"/>
    <w:rsid w:val="00F77F65"/>
    <w:rsid w:val="00F9601B"/>
    <w:rsid w:val="00FF2B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B1C00"/>
  <w15:docId w15:val="{0164D8D4-561A-4A5B-9550-F1ED77D9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017"/>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617017"/>
    <w:pPr>
      <w:ind w:leftChars="200" w:left="480"/>
    </w:pPr>
  </w:style>
  <w:style w:type="paragraph" w:styleId="a5">
    <w:name w:val="header"/>
    <w:basedOn w:val="a0"/>
    <w:link w:val="a6"/>
    <w:uiPriority w:val="99"/>
    <w:unhideWhenUsed/>
    <w:rsid w:val="003648D7"/>
    <w:pPr>
      <w:tabs>
        <w:tab w:val="center" w:pos="4153"/>
        <w:tab w:val="right" w:pos="8306"/>
      </w:tabs>
      <w:snapToGrid w:val="0"/>
    </w:pPr>
    <w:rPr>
      <w:sz w:val="20"/>
      <w:szCs w:val="20"/>
    </w:rPr>
  </w:style>
  <w:style w:type="character" w:customStyle="1" w:styleId="a6">
    <w:name w:val="頁首 字元"/>
    <w:basedOn w:val="a1"/>
    <w:link w:val="a5"/>
    <w:uiPriority w:val="99"/>
    <w:rsid w:val="003648D7"/>
    <w:rPr>
      <w:rFonts w:ascii="Times New Roman" w:eastAsia="新細明體" w:hAnsi="Times New Roman" w:cs="Times New Roman"/>
      <w:sz w:val="20"/>
      <w:szCs w:val="20"/>
    </w:rPr>
  </w:style>
  <w:style w:type="paragraph" w:styleId="a7">
    <w:name w:val="footer"/>
    <w:basedOn w:val="a0"/>
    <w:link w:val="a8"/>
    <w:uiPriority w:val="99"/>
    <w:unhideWhenUsed/>
    <w:rsid w:val="003648D7"/>
    <w:pPr>
      <w:tabs>
        <w:tab w:val="center" w:pos="4153"/>
        <w:tab w:val="right" w:pos="8306"/>
      </w:tabs>
      <w:snapToGrid w:val="0"/>
    </w:pPr>
    <w:rPr>
      <w:sz w:val="20"/>
      <w:szCs w:val="20"/>
    </w:rPr>
  </w:style>
  <w:style w:type="character" w:customStyle="1" w:styleId="a8">
    <w:name w:val="頁尾 字元"/>
    <w:basedOn w:val="a1"/>
    <w:link w:val="a7"/>
    <w:uiPriority w:val="99"/>
    <w:rsid w:val="003648D7"/>
    <w:rPr>
      <w:rFonts w:ascii="Times New Roman" w:eastAsia="新細明體" w:hAnsi="Times New Roman" w:cs="Times New Roman"/>
      <w:sz w:val="20"/>
      <w:szCs w:val="20"/>
    </w:rPr>
  </w:style>
  <w:style w:type="paragraph" w:customStyle="1" w:styleId="a">
    <w:name w:val="分項段落"/>
    <w:basedOn w:val="a0"/>
    <w:rsid w:val="001B1E0B"/>
    <w:pPr>
      <w:numPr>
        <w:numId w:val="9"/>
      </w:numPr>
      <w:snapToGrid w:val="0"/>
    </w:pPr>
    <w:rPr>
      <w:rFonts w:eastAsia="標楷體"/>
      <w:sz w:val="32"/>
      <w:szCs w:val="20"/>
    </w:rPr>
  </w:style>
  <w:style w:type="paragraph" w:styleId="a9">
    <w:name w:val="Balloon Text"/>
    <w:basedOn w:val="a0"/>
    <w:link w:val="aa"/>
    <w:uiPriority w:val="99"/>
    <w:semiHidden/>
    <w:unhideWhenUsed/>
    <w:rsid w:val="00532910"/>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532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陳怡真</dc:creator>
  <cp:lastModifiedBy>黎衍君</cp:lastModifiedBy>
  <cp:revision>2</cp:revision>
  <cp:lastPrinted>2019-10-08T04:13:00Z</cp:lastPrinted>
  <dcterms:created xsi:type="dcterms:W3CDTF">2022-02-08T01:16:00Z</dcterms:created>
  <dcterms:modified xsi:type="dcterms:W3CDTF">2022-02-08T01:16:00Z</dcterms:modified>
</cp:coreProperties>
</file>