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7837" w14:textId="192E72D9" w:rsidR="00AC3E81" w:rsidRDefault="00C54035" w:rsidP="00C54035">
      <w:pPr>
        <w:pStyle w:val="Pagedecouverture"/>
      </w:pPr>
      <w:bookmarkStart w:id="0" w:name="LW_BM_COVERPAGE"/>
      <w:bookmarkStart w:id="1" w:name="_GoBack"/>
      <w:bookmarkEnd w:id="1"/>
      <w:r>
        <w:pict w14:anchorId="340D2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23175B1-6589-4DFC-B37B-F3F574C8C4FD" style="width:450.45pt;height:389.15pt">
            <v:imagedata r:id="rId8" o:title=""/>
          </v:shape>
        </w:pict>
      </w:r>
    </w:p>
    <w:bookmarkEnd w:id="0"/>
    <w:p w14:paraId="0E00D117" w14:textId="77777777" w:rsidR="00AC3E81" w:rsidRDefault="00AC3E81" w:rsidP="00AC3E81">
      <w:pPr>
        <w:rPr>
          <w:lang w:val="en-US"/>
        </w:rPr>
        <w:sectPr w:rsidR="00AC3E81" w:rsidSect="00C5403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062239D"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lastRenderedPageBreak/>
        <w:t>Streszczenie</w:t>
      </w:r>
    </w:p>
    <w:p w14:paraId="5FFD2A15" w14:textId="3575BF90" w:rsidR="009D29AB" w:rsidRPr="00A467B6" w:rsidRDefault="009D29AB" w:rsidP="009D29AB">
      <w:pPr>
        <w:jc w:val="both"/>
        <w:rPr>
          <w:rFonts w:ascii="Times New Roman" w:hAnsi="Times New Roman" w:cs="Times New Roman"/>
          <w:i/>
          <w:sz w:val="24"/>
        </w:rPr>
      </w:pPr>
      <w:r>
        <w:rPr>
          <w:rFonts w:ascii="Times New Roman" w:hAnsi="Times New Roman"/>
          <w:i/>
          <w:sz w:val="24"/>
        </w:rPr>
        <w:t>Nowatorski instrument umożliwiający reagowanie na skutki społeczno-ekonomiczne pandemi</w:t>
      </w:r>
      <w:r w:rsidRPr="00A467B6">
        <w:rPr>
          <w:rFonts w:ascii="Times New Roman" w:hAnsi="Times New Roman"/>
          <w:i/>
          <w:sz w:val="24"/>
        </w:rPr>
        <w:t>i</w:t>
      </w:r>
      <w:r w:rsidR="00A467B6" w:rsidRPr="00A467B6">
        <w:rPr>
          <w:rFonts w:ascii="Times New Roman" w:hAnsi="Times New Roman"/>
          <w:i/>
          <w:sz w:val="24"/>
        </w:rPr>
        <w:t xml:space="preserve"> </w:t>
      </w:r>
    </w:p>
    <w:p w14:paraId="0E443EA0" w14:textId="40490C84" w:rsidR="009D29AB" w:rsidRPr="009D29AB" w:rsidRDefault="009D29AB" w:rsidP="009D29AB">
      <w:pPr>
        <w:jc w:val="both"/>
        <w:rPr>
          <w:rFonts w:ascii="Times New Roman" w:hAnsi="Times New Roman" w:cs="Times New Roman"/>
          <w:sz w:val="24"/>
        </w:rPr>
      </w:pPr>
      <w:r>
        <w:rPr>
          <w:rFonts w:ascii="Times New Roman" w:hAnsi="Times New Roman"/>
          <w:b/>
          <w:sz w:val="24"/>
        </w:rPr>
        <w:t>Niniejsze sprawozdanie jest pierwszym sprawozdaniem półrocznym dotyczącym europejskiego instrumentu tymczasowego wsparcia</w:t>
      </w:r>
      <w:r w:rsidR="00A467B6">
        <w:rPr>
          <w:rFonts w:ascii="Times New Roman" w:hAnsi="Times New Roman"/>
          <w:b/>
          <w:sz w:val="24"/>
        </w:rPr>
        <w:t xml:space="preserve"> w cel</w:t>
      </w:r>
      <w:r>
        <w:rPr>
          <w:rFonts w:ascii="Times New Roman" w:hAnsi="Times New Roman"/>
          <w:b/>
          <w:sz w:val="24"/>
        </w:rPr>
        <w:t>u zmniejszenia zagrożeń związanych</w:t>
      </w:r>
      <w:r w:rsidR="00A467B6">
        <w:rPr>
          <w:rFonts w:ascii="Times New Roman" w:hAnsi="Times New Roman"/>
          <w:b/>
          <w:sz w:val="24"/>
        </w:rPr>
        <w:t xml:space="preserve"> z bez</w:t>
      </w:r>
      <w:r>
        <w:rPr>
          <w:rFonts w:ascii="Times New Roman" w:hAnsi="Times New Roman"/>
          <w:b/>
          <w:sz w:val="24"/>
        </w:rPr>
        <w:t>robociem</w:t>
      </w:r>
      <w:r w:rsidR="00A467B6">
        <w:rPr>
          <w:rFonts w:ascii="Times New Roman" w:hAnsi="Times New Roman"/>
          <w:b/>
          <w:sz w:val="24"/>
        </w:rPr>
        <w:t xml:space="preserve"> w syt</w:t>
      </w:r>
      <w:r>
        <w:rPr>
          <w:rFonts w:ascii="Times New Roman" w:hAnsi="Times New Roman"/>
          <w:b/>
          <w:sz w:val="24"/>
        </w:rPr>
        <w:t xml:space="preserve">uacji nadzwyczajnej (SURE). </w:t>
      </w:r>
      <w:r>
        <w:rPr>
          <w:rFonts w:ascii="Times New Roman" w:hAnsi="Times New Roman"/>
          <w:sz w:val="24"/>
        </w:rPr>
        <w:t>Przedstawiono</w:t>
      </w:r>
      <w:r w:rsidR="00A467B6">
        <w:rPr>
          <w:rFonts w:ascii="Times New Roman" w:hAnsi="Times New Roman"/>
          <w:sz w:val="24"/>
        </w:rPr>
        <w:t xml:space="preserve"> w nim</w:t>
      </w:r>
      <w:r>
        <w:rPr>
          <w:rFonts w:ascii="Times New Roman" w:hAnsi="Times New Roman"/>
          <w:sz w:val="24"/>
        </w:rPr>
        <w:t xml:space="preserve"> dotychczasowe operacje</w:t>
      </w:r>
      <w:r w:rsidR="00A467B6">
        <w:rPr>
          <w:rFonts w:ascii="Times New Roman" w:hAnsi="Times New Roman"/>
          <w:sz w:val="24"/>
        </w:rPr>
        <w:t xml:space="preserve"> i wyk</w:t>
      </w:r>
      <w:r>
        <w:rPr>
          <w:rFonts w:ascii="Times New Roman" w:hAnsi="Times New Roman"/>
          <w:sz w:val="24"/>
        </w:rPr>
        <w:t>orzystanie instrumentu oraz dokonano przeglądu jego skutków społeczno-ekonomicznych. SURE jest instrumentem kryzysowym</w:t>
      </w:r>
      <w:r w:rsidR="00A467B6">
        <w:rPr>
          <w:rFonts w:ascii="Times New Roman" w:hAnsi="Times New Roman"/>
          <w:sz w:val="24"/>
        </w:rPr>
        <w:t xml:space="preserve"> o war</w:t>
      </w:r>
      <w:r>
        <w:rPr>
          <w:rFonts w:ascii="Times New Roman" w:hAnsi="Times New Roman"/>
          <w:sz w:val="24"/>
        </w:rPr>
        <w:t>tości 100 mld EUR stworzonym przez Unię Europejską (UE), aby pomóc państwom członkowskim</w:t>
      </w:r>
      <w:r w:rsidR="00A467B6">
        <w:rPr>
          <w:rFonts w:ascii="Times New Roman" w:hAnsi="Times New Roman"/>
          <w:sz w:val="24"/>
        </w:rPr>
        <w:t xml:space="preserve"> w och</w:t>
      </w:r>
      <w:r>
        <w:rPr>
          <w:rFonts w:ascii="Times New Roman" w:hAnsi="Times New Roman"/>
          <w:sz w:val="24"/>
        </w:rPr>
        <w:t>ronie miejsc pracy</w:t>
      </w:r>
      <w:r w:rsidR="00A467B6">
        <w:rPr>
          <w:rFonts w:ascii="Times New Roman" w:hAnsi="Times New Roman"/>
          <w:sz w:val="24"/>
        </w:rPr>
        <w:t xml:space="preserve"> i doc</w:t>
      </w:r>
      <w:r>
        <w:rPr>
          <w:rFonts w:ascii="Times New Roman" w:hAnsi="Times New Roman"/>
          <w:sz w:val="24"/>
        </w:rPr>
        <w:t>hodów pracowników</w:t>
      </w:r>
      <w:r w:rsidR="00A467B6">
        <w:rPr>
          <w:rFonts w:ascii="Times New Roman" w:hAnsi="Times New Roman"/>
          <w:sz w:val="24"/>
        </w:rPr>
        <w:t xml:space="preserve"> w kon</w:t>
      </w:r>
      <w:r>
        <w:rPr>
          <w:rFonts w:ascii="Times New Roman" w:hAnsi="Times New Roman"/>
          <w:sz w:val="24"/>
        </w:rPr>
        <w:t xml:space="preserve">tekście pandemii COVID-19. </w:t>
      </w:r>
    </w:p>
    <w:p w14:paraId="6B232F2D" w14:textId="769F6F99" w:rsidR="009D29AB" w:rsidRPr="009D29AB" w:rsidRDefault="009D29AB" w:rsidP="009D29AB">
      <w:pPr>
        <w:jc w:val="both"/>
        <w:rPr>
          <w:rFonts w:ascii="Times New Roman" w:hAnsi="Times New Roman" w:cs="Times New Roman"/>
          <w:sz w:val="24"/>
        </w:rPr>
      </w:pPr>
      <w:r>
        <w:rPr>
          <w:rFonts w:ascii="Times New Roman" w:hAnsi="Times New Roman"/>
          <w:b/>
          <w:sz w:val="24"/>
        </w:rPr>
        <w:t>SURE jest zdecydowanym wyrazem solidarności mającym na celu ochronę miejsc pracy</w:t>
      </w:r>
      <w:r w:rsidR="00A467B6">
        <w:rPr>
          <w:rFonts w:ascii="Times New Roman" w:hAnsi="Times New Roman"/>
          <w:b/>
          <w:sz w:val="24"/>
        </w:rPr>
        <w:t xml:space="preserve"> i dzi</w:t>
      </w:r>
      <w:r>
        <w:rPr>
          <w:rFonts w:ascii="Times New Roman" w:hAnsi="Times New Roman"/>
          <w:b/>
          <w:sz w:val="24"/>
        </w:rPr>
        <w:t>ałalności gospodarczej na jednolitym rynku.</w:t>
      </w:r>
      <w:r>
        <w:rPr>
          <w:rFonts w:ascii="Times New Roman" w:hAnsi="Times New Roman"/>
          <w:sz w:val="24"/>
        </w:rPr>
        <w:t xml:space="preserve"> Aby SURE stał się dostępny, wszystkie państwa członkowskie zgodziły się udzielić UE gwarancji dwustronnych, co umożliwiło Unii pozyskiwanie finansowania dłużnego na rynkach</w:t>
      </w:r>
      <w:r w:rsidR="00A467B6">
        <w:rPr>
          <w:rFonts w:ascii="Times New Roman" w:hAnsi="Times New Roman"/>
          <w:sz w:val="24"/>
        </w:rPr>
        <w:t xml:space="preserve"> w cel</w:t>
      </w:r>
      <w:r>
        <w:rPr>
          <w:rFonts w:ascii="Times New Roman" w:hAnsi="Times New Roman"/>
          <w:sz w:val="24"/>
        </w:rPr>
        <w:t>u sfinansowania pożyczek</w:t>
      </w:r>
      <w:r w:rsidR="00A467B6">
        <w:rPr>
          <w:rFonts w:ascii="Times New Roman" w:hAnsi="Times New Roman"/>
          <w:sz w:val="24"/>
        </w:rPr>
        <w:t xml:space="preserve"> w ram</w:t>
      </w:r>
      <w:r>
        <w:rPr>
          <w:rFonts w:ascii="Times New Roman" w:hAnsi="Times New Roman"/>
          <w:sz w:val="24"/>
        </w:rPr>
        <w:t xml:space="preserve">ach SURE. </w:t>
      </w:r>
    </w:p>
    <w:p w14:paraId="3FD5D43F" w14:textId="68660723" w:rsidR="009D29AB" w:rsidRPr="00A467B6" w:rsidRDefault="009D29AB" w:rsidP="009D29AB">
      <w:pPr>
        <w:jc w:val="both"/>
        <w:rPr>
          <w:rFonts w:ascii="Times New Roman" w:hAnsi="Times New Roman" w:cs="Times New Roman"/>
          <w:b/>
          <w:color w:val="000000" w:themeColor="text1"/>
          <w:sz w:val="24"/>
        </w:rPr>
      </w:pPr>
      <w:r>
        <w:rPr>
          <w:rFonts w:ascii="Times New Roman" w:hAnsi="Times New Roman"/>
          <w:b/>
          <w:sz w:val="24"/>
        </w:rPr>
        <w:t>W dniu 2 kwietnia 20</w:t>
      </w:r>
      <w:r w:rsidRPr="00A467B6">
        <w:rPr>
          <w:rFonts w:ascii="Times New Roman" w:hAnsi="Times New Roman"/>
          <w:b/>
          <w:sz w:val="24"/>
        </w:rPr>
        <w:t>20</w:t>
      </w:r>
      <w:r w:rsidR="00A467B6" w:rsidRPr="00A467B6">
        <w:rPr>
          <w:rFonts w:ascii="Times New Roman" w:hAnsi="Times New Roman"/>
          <w:b/>
          <w:sz w:val="24"/>
        </w:rPr>
        <w:t> </w:t>
      </w:r>
      <w:r w:rsidRPr="00A467B6">
        <w:rPr>
          <w:rFonts w:ascii="Times New Roman" w:hAnsi="Times New Roman"/>
          <w:b/>
          <w:sz w:val="24"/>
        </w:rPr>
        <w:t>r.</w:t>
      </w:r>
      <w:r>
        <w:rPr>
          <w:rFonts w:ascii="Times New Roman" w:hAnsi="Times New Roman"/>
          <w:b/>
          <w:sz w:val="24"/>
        </w:rPr>
        <w:t xml:space="preserve"> Komisja przedstawiła wniosek dotyczący rozporządzenia</w:t>
      </w:r>
      <w:r w:rsidR="00A467B6">
        <w:rPr>
          <w:rFonts w:ascii="Times New Roman" w:hAnsi="Times New Roman"/>
          <w:b/>
          <w:sz w:val="24"/>
        </w:rPr>
        <w:t xml:space="preserve"> w spr</w:t>
      </w:r>
      <w:r>
        <w:rPr>
          <w:rFonts w:ascii="Times New Roman" w:hAnsi="Times New Roman"/>
          <w:b/>
          <w:sz w:val="24"/>
        </w:rPr>
        <w:t xml:space="preserve">awie SURE jako element początkowej reakcji UE na pandemię. </w:t>
      </w:r>
      <w:r>
        <w:rPr>
          <w:rFonts w:ascii="Times New Roman" w:hAnsi="Times New Roman"/>
          <w:sz w:val="24"/>
        </w:rPr>
        <w:t>Rada przyjęła rozporządzenie</w:t>
      </w:r>
      <w:r w:rsidR="00A467B6">
        <w:rPr>
          <w:rFonts w:ascii="Times New Roman" w:hAnsi="Times New Roman"/>
          <w:sz w:val="24"/>
        </w:rPr>
        <w:t xml:space="preserve"> w spr</w:t>
      </w:r>
      <w:r>
        <w:rPr>
          <w:rFonts w:ascii="Times New Roman" w:hAnsi="Times New Roman"/>
          <w:sz w:val="24"/>
        </w:rPr>
        <w:t>awie SURE</w:t>
      </w:r>
      <w:r w:rsidR="00A467B6">
        <w:rPr>
          <w:rFonts w:ascii="Times New Roman" w:hAnsi="Times New Roman"/>
          <w:sz w:val="24"/>
        </w:rPr>
        <w:t xml:space="preserve"> w dni</w:t>
      </w:r>
      <w:r>
        <w:rPr>
          <w:rFonts w:ascii="Times New Roman" w:hAnsi="Times New Roman"/>
          <w:sz w:val="24"/>
        </w:rPr>
        <w:t>u 19 maja 20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w:t>
      </w:r>
      <w:r w:rsidR="00A467B6">
        <w:rPr>
          <w:rFonts w:ascii="Times New Roman" w:hAnsi="Times New Roman"/>
          <w:sz w:val="24"/>
        </w:rPr>
        <w:t xml:space="preserve"> a pań</w:t>
      </w:r>
      <w:r>
        <w:rPr>
          <w:rFonts w:ascii="Times New Roman" w:hAnsi="Times New Roman"/>
          <w:sz w:val="24"/>
        </w:rPr>
        <w:t>stwa członkowskie przedstawiły pierwsze formalne wnioski na początku sierpnia. Pula środków finansowych wynosząca 100 mld EUR została jednak udostępniona</w:t>
      </w:r>
      <w:r w:rsidR="00A467B6">
        <w:rPr>
          <w:rFonts w:ascii="Times New Roman" w:hAnsi="Times New Roman"/>
          <w:sz w:val="24"/>
        </w:rPr>
        <w:t xml:space="preserve"> w dni</w:t>
      </w:r>
      <w:r>
        <w:rPr>
          <w:rFonts w:ascii="Times New Roman" w:hAnsi="Times New Roman"/>
          <w:sz w:val="24"/>
        </w:rPr>
        <w:t>u 22 września 20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po podpisaniu umów</w:t>
      </w:r>
      <w:r w:rsidR="00A467B6">
        <w:rPr>
          <w:rFonts w:ascii="Times New Roman" w:hAnsi="Times New Roman"/>
          <w:sz w:val="24"/>
        </w:rPr>
        <w:t xml:space="preserve"> w spr</w:t>
      </w:r>
      <w:r>
        <w:rPr>
          <w:rFonts w:ascii="Times New Roman" w:hAnsi="Times New Roman"/>
          <w:sz w:val="24"/>
        </w:rPr>
        <w:t>awie gwarancji przez wszystkie państwa członkowskie. Komisja przyspieszyła wdrażanie instrumentu, nawiązując ścisłą współpracę</w:t>
      </w:r>
      <w:r w:rsidR="00A467B6">
        <w:rPr>
          <w:rFonts w:ascii="Times New Roman" w:hAnsi="Times New Roman"/>
          <w:sz w:val="24"/>
        </w:rPr>
        <w:t xml:space="preserve"> z pań</w:t>
      </w:r>
      <w:r>
        <w:rPr>
          <w:rFonts w:ascii="Times New Roman" w:hAnsi="Times New Roman"/>
          <w:sz w:val="24"/>
        </w:rPr>
        <w:t>stwami członkowskimi</w:t>
      </w:r>
      <w:r w:rsidR="00A467B6">
        <w:rPr>
          <w:rFonts w:ascii="Times New Roman" w:hAnsi="Times New Roman"/>
          <w:sz w:val="24"/>
        </w:rPr>
        <w:t xml:space="preserve"> i pra</w:t>
      </w:r>
      <w:r>
        <w:rPr>
          <w:rFonts w:ascii="Times New Roman" w:hAnsi="Times New Roman"/>
          <w:sz w:val="24"/>
        </w:rPr>
        <w:t>cując nad przygotowaniem wszystkich porozumień administracyjnych</w:t>
      </w:r>
      <w:r w:rsidR="00A467B6">
        <w:rPr>
          <w:rFonts w:ascii="Times New Roman" w:hAnsi="Times New Roman"/>
          <w:sz w:val="24"/>
        </w:rPr>
        <w:t xml:space="preserve"> i pra</w:t>
      </w:r>
      <w:r>
        <w:rPr>
          <w:rFonts w:ascii="Times New Roman" w:hAnsi="Times New Roman"/>
          <w:sz w:val="24"/>
        </w:rPr>
        <w:t>wnych (np. dwustronnych umów pożyczek) od chwili przyjęcia rozporządzenia</w:t>
      </w:r>
      <w:r w:rsidR="00A467B6">
        <w:rPr>
          <w:rFonts w:ascii="Times New Roman" w:hAnsi="Times New Roman"/>
          <w:sz w:val="24"/>
        </w:rPr>
        <w:t>. W rez</w:t>
      </w:r>
      <w:r>
        <w:rPr>
          <w:rFonts w:ascii="Times New Roman" w:hAnsi="Times New Roman"/>
          <w:sz w:val="24"/>
        </w:rPr>
        <w:t>ultacie pierwsza wypłata nastąpiła</w:t>
      </w:r>
      <w:r w:rsidR="00A467B6">
        <w:rPr>
          <w:rFonts w:ascii="Times New Roman" w:hAnsi="Times New Roman"/>
          <w:sz w:val="24"/>
        </w:rPr>
        <w:t xml:space="preserve"> w dni</w:t>
      </w:r>
      <w:r>
        <w:rPr>
          <w:rFonts w:ascii="Times New Roman" w:hAnsi="Times New Roman"/>
          <w:sz w:val="24"/>
        </w:rPr>
        <w:t>u 27 października, zaledwie pięć tygodni po udostępnieniu puli środków finansowych</w:t>
      </w:r>
      <w:r w:rsidRPr="00A467B6">
        <w:rPr>
          <w:rFonts w:ascii="Times New Roman" w:hAnsi="Times New Roman"/>
          <w:sz w:val="24"/>
        </w:rPr>
        <w:t>.</w:t>
      </w:r>
      <w:r w:rsidR="00A467B6" w:rsidRPr="00A467B6">
        <w:rPr>
          <w:rFonts w:ascii="Times New Roman" w:hAnsi="Times New Roman"/>
          <w:sz w:val="24"/>
        </w:rPr>
        <w:t xml:space="preserve"> </w:t>
      </w:r>
    </w:p>
    <w:p w14:paraId="093C5B51" w14:textId="40A80D04" w:rsidR="009D29AB" w:rsidRPr="009D29AB" w:rsidRDefault="009D29AB" w:rsidP="009D29AB">
      <w:pPr>
        <w:jc w:val="both"/>
        <w:rPr>
          <w:rFonts w:ascii="Times New Roman" w:hAnsi="Times New Roman" w:cs="Times New Roman"/>
          <w:sz w:val="24"/>
        </w:rPr>
      </w:pPr>
      <w:r>
        <w:rPr>
          <w:rFonts w:ascii="Times New Roman" w:hAnsi="Times New Roman"/>
          <w:b/>
          <w:sz w:val="24"/>
        </w:rPr>
        <w:t>UE po raz pierwszy wyemitowała obligacje społeczne</w:t>
      </w:r>
      <w:r w:rsidR="00A467B6">
        <w:rPr>
          <w:rFonts w:ascii="Times New Roman" w:hAnsi="Times New Roman"/>
          <w:b/>
          <w:sz w:val="24"/>
        </w:rPr>
        <w:t xml:space="preserve"> w cel</w:t>
      </w:r>
      <w:r>
        <w:rPr>
          <w:rFonts w:ascii="Times New Roman" w:hAnsi="Times New Roman"/>
          <w:b/>
          <w:sz w:val="24"/>
        </w:rPr>
        <w:t>u sfinansowania pomocy finansowej</w:t>
      </w:r>
      <w:r w:rsidR="00A467B6">
        <w:rPr>
          <w:rFonts w:ascii="Times New Roman" w:hAnsi="Times New Roman"/>
          <w:b/>
          <w:sz w:val="24"/>
        </w:rPr>
        <w:t xml:space="preserve"> w ram</w:t>
      </w:r>
      <w:r>
        <w:rPr>
          <w:rFonts w:ascii="Times New Roman" w:hAnsi="Times New Roman"/>
          <w:b/>
          <w:sz w:val="24"/>
        </w:rPr>
        <w:t>ach SURE dla państw członkowskich</w:t>
      </w:r>
      <w:r w:rsidR="00A467B6">
        <w:rPr>
          <w:rFonts w:ascii="Times New Roman" w:hAnsi="Times New Roman"/>
          <w:b/>
          <w:sz w:val="24"/>
        </w:rPr>
        <w:t xml:space="preserve">. </w:t>
      </w:r>
      <w:r w:rsidR="00A467B6">
        <w:rPr>
          <w:rFonts w:ascii="Times New Roman" w:hAnsi="Times New Roman"/>
          <w:sz w:val="24"/>
        </w:rPr>
        <w:t>W</w:t>
      </w:r>
      <w:r w:rsidR="00A467B6">
        <w:rPr>
          <w:rFonts w:ascii="Times New Roman" w:hAnsi="Times New Roman"/>
          <w:b/>
          <w:sz w:val="24"/>
        </w:rPr>
        <w:t> </w:t>
      </w:r>
      <w:r w:rsidR="00A467B6">
        <w:rPr>
          <w:rFonts w:ascii="Times New Roman" w:hAnsi="Times New Roman"/>
          <w:sz w:val="24"/>
        </w:rPr>
        <w:t>nin</w:t>
      </w:r>
      <w:r>
        <w:rPr>
          <w:rFonts w:ascii="Times New Roman" w:hAnsi="Times New Roman"/>
          <w:sz w:val="24"/>
        </w:rPr>
        <w:t>iejszym sprawozdaniu wywiązano się również</w:t>
      </w:r>
      <w:r w:rsidR="00A467B6">
        <w:rPr>
          <w:rFonts w:ascii="Times New Roman" w:hAnsi="Times New Roman"/>
          <w:sz w:val="24"/>
        </w:rPr>
        <w:t xml:space="preserve"> z obo</w:t>
      </w:r>
      <w:r>
        <w:rPr>
          <w:rFonts w:ascii="Times New Roman" w:hAnsi="Times New Roman"/>
          <w:sz w:val="24"/>
        </w:rPr>
        <w:t xml:space="preserve">wiązku sprawozdawczego na podstawie </w:t>
      </w:r>
      <w:r w:rsidRPr="00A467B6">
        <w:rPr>
          <w:rFonts w:ascii="Times New Roman" w:hAnsi="Times New Roman"/>
          <w:sz w:val="24"/>
        </w:rPr>
        <w:t>pkt</w:t>
      </w:r>
      <w:r w:rsidR="00A467B6" w:rsidRPr="00A467B6">
        <w:rPr>
          <w:rFonts w:ascii="Times New Roman" w:hAnsi="Times New Roman"/>
          <w:sz w:val="24"/>
        </w:rPr>
        <w:t> </w:t>
      </w:r>
      <w:r w:rsidRPr="00A467B6">
        <w:rPr>
          <w:rFonts w:ascii="Times New Roman" w:hAnsi="Times New Roman"/>
          <w:sz w:val="24"/>
        </w:rPr>
        <w:t>2</w:t>
      </w:r>
      <w:r>
        <w:rPr>
          <w:rFonts w:ascii="Times New Roman" w:hAnsi="Times New Roman"/>
          <w:sz w:val="24"/>
        </w:rPr>
        <w:t>.4 ram dotyczących unijnych obligacji społecznych SURE,</w:t>
      </w:r>
      <w:r w:rsidR="00A467B6">
        <w:rPr>
          <w:rFonts w:ascii="Times New Roman" w:hAnsi="Times New Roman"/>
          <w:sz w:val="24"/>
        </w:rPr>
        <w:t xml:space="preserve"> w szc</w:t>
      </w:r>
      <w:r>
        <w:rPr>
          <w:rFonts w:ascii="Times New Roman" w:hAnsi="Times New Roman"/>
          <w:sz w:val="24"/>
        </w:rPr>
        <w:t>zególności</w:t>
      </w:r>
      <w:r w:rsidR="00A467B6">
        <w:rPr>
          <w:rFonts w:ascii="Times New Roman" w:hAnsi="Times New Roman"/>
          <w:sz w:val="24"/>
        </w:rPr>
        <w:t xml:space="preserve"> w zak</w:t>
      </w:r>
      <w:r>
        <w:rPr>
          <w:rFonts w:ascii="Times New Roman" w:hAnsi="Times New Roman"/>
          <w:sz w:val="24"/>
        </w:rPr>
        <w:t>resie przydziału</w:t>
      </w:r>
      <w:r w:rsidR="00A467B6">
        <w:rPr>
          <w:rFonts w:ascii="Times New Roman" w:hAnsi="Times New Roman"/>
          <w:sz w:val="24"/>
        </w:rPr>
        <w:t xml:space="preserve"> i wpł</w:t>
      </w:r>
      <w:r>
        <w:rPr>
          <w:rFonts w:ascii="Times New Roman" w:hAnsi="Times New Roman"/>
          <w:sz w:val="24"/>
        </w:rPr>
        <w:t>ywu środków z SURE.</w:t>
      </w:r>
      <w:r>
        <w:rPr>
          <w:rFonts w:ascii="Times New Roman" w:hAnsi="Times New Roman"/>
          <w:b/>
          <w:sz w:val="24"/>
        </w:rPr>
        <w:t xml:space="preserve"> </w:t>
      </w:r>
    </w:p>
    <w:p w14:paraId="6B87F183" w14:textId="77777777" w:rsidR="009D29AB" w:rsidRPr="009D29AB" w:rsidRDefault="009D29AB" w:rsidP="009D29AB">
      <w:pPr>
        <w:jc w:val="both"/>
        <w:rPr>
          <w:rFonts w:ascii="Times New Roman" w:hAnsi="Times New Roman" w:cs="Times New Roman"/>
          <w:i/>
          <w:sz w:val="24"/>
        </w:rPr>
      </w:pPr>
      <w:r>
        <w:rPr>
          <w:rFonts w:ascii="Times New Roman" w:hAnsi="Times New Roman"/>
          <w:i/>
          <w:sz w:val="24"/>
        </w:rPr>
        <w:t>Duże zainteresowanie</w:t>
      </w:r>
    </w:p>
    <w:p w14:paraId="59492C8B" w14:textId="2313F9F3" w:rsidR="009D29AB" w:rsidRPr="009D29AB" w:rsidRDefault="009D29AB" w:rsidP="009D29AB">
      <w:pPr>
        <w:jc w:val="both"/>
        <w:rPr>
          <w:rFonts w:ascii="Times New Roman" w:hAnsi="Times New Roman" w:cs="Times New Roman"/>
          <w:sz w:val="24"/>
        </w:rPr>
      </w:pPr>
      <w:r>
        <w:rPr>
          <w:rFonts w:ascii="Times New Roman" w:hAnsi="Times New Roman"/>
          <w:b/>
          <w:sz w:val="24"/>
        </w:rPr>
        <w:t>Zapotrzebowanie państw członkowskich na pomoc finansową</w:t>
      </w:r>
      <w:r w:rsidR="00A467B6">
        <w:rPr>
          <w:rFonts w:ascii="Times New Roman" w:hAnsi="Times New Roman"/>
          <w:b/>
          <w:sz w:val="24"/>
        </w:rPr>
        <w:t xml:space="preserve"> w ram</w:t>
      </w:r>
      <w:r>
        <w:rPr>
          <w:rFonts w:ascii="Times New Roman" w:hAnsi="Times New Roman"/>
          <w:b/>
          <w:sz w:val="24"/>
        </w:rPr>
        <w:t>ach SURE jest znaczne</w:t>
      </w:r>
      <w:r>
        <w:rPr>
          <w:rFonts w:ascii="Times New Roman" w:hAnsi="Times New Roman"/>
          <w:sz w:val="24"/>
        </w:rPr>
        <w:t>. Od czasu wprowadzenia tego instrumentu Rada – na podstawie wniosków Komisji – przydzieliła 18 państwom członkowskim ponad 9</w:t>
      </w:r>
      <w:r w:rsidRPr="00A467B6">
        <w:rPr>
          <w:rFonts w:ascii="Times New Roman" w:hAnsi="Times New Roman"/>
          <w:sz w:val="24"/>
        </w:rPr>
        <w:t>0</w:t>
      </w:r>
      <w:r w:rsidR="00A467B6" w:rsidRPr="00A467B6">
        <w:rPr>
          <w:rFonts w:ascii="Times New Roman" w:hAnsi="Times New Roman"/>
          <w:sz w:val="24"/>
        </w:rPr>
        <w:t> </w:t>
      </w:r>
      <w:r w:rsidRPr="00A467B6">
        <w:rPr>
          <w:rFonts w:ascii="Times New Roman" w:hAnsi="Times New Roman"/>
          <w:sz w:val="24"/>
        </w:rPr>
        <w:t>%</w:t>
      </w:r>
      <w:r>
        <w:rPr>
          <w:rFonts w:ascii="Times New Roman" w:hAnsi="Times New Roman"/>
          <w:sz w:val="24"/>
        </w:rPr>
        <w:t xml:space="preserve"> całkowitej puli środków</w:t>
      </w:r>
      <w:r w:rsidR="00A467B6">
        <w:rPr>
          <w:rFonts w:ascii="Times New Roman" w:hAnsi="Times New Roman"/>
          <w:sz w:val="24"/>
        </w:rPr>
        <w:t xml:space="preserve"> w wys</w:t>
      </w:r>
      <w:r>
        <w:rPr>
          <w:rFonts w:ascii="Times New Roman" w:hAnsi="Times New Roman"/>
          <w:sz w:val="24"/>
        </w:rPr>
        <w:t>okości 100 mld EUR. Ponadto</w:t>
      </w:r>
      <w:r w:rsidR="00A467B6">
        <w:rPr>
          <w:rFonts w:ascii="Times New Roman" w:hAnsi="Times New Roman"/>
          <w:sz w:val="24"/>
        </w:rPr>
        <w:t xml:space="preserve"> w dni</w:t>
      </w:r>
      <w:r>
        <w:rPr>
          <w:rFonts w:ascii="Times New Roman" w:hAnsi="Times New Roman"/>
          <w:sz w:val="24"/>
        </w:rPr>
        <w:t>u 26 lutego Komisja zaproponowała udzielenie pomocy finansowej również Estonii. Trzy najwyższe kwoty pomocy finansowej przyznano Włochom (27,4 mld EUR), Hiszpanii (21,3 mld EUR)</w:t>
      </w:r>
      <w:r w:rsidR="00A467B6">
        <w:rPr>
          <w:rFonts w:ascii="Times New Roman" w:hAnsi="Times New Roman"/>
          <w:sz w:val="24"/>
        </w:rPr>
        <w:t xml:space="preserve"> i Pol</w:t>
      </w:r>
      <w:r>
        <w:rPr>
          <w:rFonts w:ascii="Times New Roman" w:hAnsi="Times New Roman"/>
          <w:sz w:val="24"/>
        </w:rPr>
        <w:t>sce (11,2 mld EUR). Aby zmieścić się</w:t>
      </w:r>
      <w:r w:rsidR="00A467B6">
        <w:rPr>
          <w:rFonts w:ascii="Times New Roman" w:hAnsi="Times New Roman"/>
          <w:sz w:val="24"/>
        </w:rPr>
        <w:t xml:space="preserve"> w prz</w:t>
      </w:r>
      <w:r>
        <w:rPr>
          <w:rFonts w:ascii="Times New Roman" w:hAnsi="Times New Roman"/>
          <w:sz w:val="24"/>
        </w:rPr>
        <w:t>ewidzianym</w:t>
      </w:r>
      <w:r w:rsidR="00A467B6">
        <w:rPr>
          <w:rFonts w:ascii="Times New Roman" w:hAnsi="Times New Roman"/>
          <w:sz w:val="24"/>
        </w:rPr>
        <w:t xml:space="preserve"> w roz</w:t>
      </w:r>
      <w:r>
        <w:rPr>
          <w:rFonts w:ascii="Times New Roman" w:hAnsi="Times New Roman"/>
          <w:sz w:val="24"/>
        </w:rPr>
        <w:t>porządzeniu limicie koncentracji wynoszącym 60 mld EUR dla trzech największych beneficjentów, nieznacznie zmniejszono kwoty,</w:t>
      </w:r>
      <w:r w:rsidR="00A467B6">
        <w:rPr>
          <w:rFonts w:ascii="Times New Roman" w:hAnsi="Times New Roman"/>
          <w:sz w:val="24"/>
        </w:rPr>
        <w:t xml:space="preserve"> o któ</w:t>
      </w:r>
      <w:r>
        <w:rPr>
          <w:rFonts w:ascii="Times New Roman" w:hAnsi="Times New Roman"/>
          <w:sz w:val="24"/>
        </w:rPr>
        <w:t>re wystąpiły pierwotnie te państwa. Pozostałe państwa członkowskie otrzymały kwotę,</w:t>
      </w:r>
      <w:r w:rsidR="00A467B6">
        <w:rPr>
          <w:rFonts w:ascii="Times New Roman" w:hAnsi="Times New Roman"/>
          <w:sz w:val="24"/>
        </w:rPr>
        <w:t xml:space="preserve"> o któ</w:t>
      </w:r>
      <w:r>
        <w:rPr>
          <w:rFonts w:ascii="Times New Roman" w:hAnsi="Times New Roman"/>
          <w:sz w:val="24"/>
        </w:rPr>
        <w:t>rą wystąpiły: Belgii, Portugalii</w:t>
      </w:r>
      <w:r w:rsidR="00A467B6">
        <w:rPr>
          <w:rFonts w:ascii="Times New Roman" w:hAnsi="Times New Roman"/>
          <w:sz w:val="24"/>
        </w:rPr>
        <w:t xml:space="preserve"> </w:t>
      </w:r>
      <w:r w:rsidR="00A467B6">
        <w:rPr>
          <w:rFonts w:ascii="Times New Roman" w:hAnsi="Times New Roman"/>
          <w:sz w:val="24"/>
        </w:rPr>
        <w:lastRenderedPageBreak/>
        <w:t>i Rum</w:t>
      </w:r>
      <w:r>
        <w:rPr>
          <w:rFonts w:ascii="Times New Roman" w:hAnsi="Times New Roman"/>
          <w:sz w:val="24"/>
        </w:rPr>
        <w:t>unii przyznano między 4</w:t>
      </w:r>
      <w:r w:rsidR="00A467B6">
        <w:rPr>
          <w:rFonts w:ascii="Times New Roman" w:hAnsi="Times New Roman"/>
          <w:sz w:val="24"/>
        </w:rPr>
        <w:t xml:space="preserve"> a 8</w:t>
      </w:r>
      <w:r>
        <w:rPr>
          <w:rFonts w:ascii="Times New Roman" w:hAnsi="Times New Roman"/>
          <w:sz w:val="24"/>
        </w:rPr>
        <w:t xml:space="preserve"> mld EUR, natomiast Grecji, Irlandii, Czechom, Słowenii</w:t>
      </w:r>
      <w:r w:rsidR="00A467B6">
        <w:rPr>
          <w:rFonts w:ascii="Times New Roman" w:hAnsi="Times New Roman"/>
          <w:sz w:val="24"/>
        </w:rPr>
        <w:t xml:space="preserve"> i Cho</w:t>
      </w:r>
      <w:r>
        <w:rPr>
          <w:rFonts w:ascii="Times New Roman" w:hAnsi="Times New Roman"/>
          <w:sz w:val="24"/>
        </w:rPr>
        <w:t>rwacji – między 1</w:t>
      </w:r>
      <w:r w:rsidR="00A467B6">
        <w:rPr>
          <w:rFonts w:ascii="Times New Roman" w:hAnsi="Times New Roman"/>
          <w:sz w:val="24"/>
        </w:rPr>
        <w:t xml:space="preserve"> a 3</w:t>
      </w:r>
      <w:r>
        <w:rPr>
          <w:rFonts w:ascii="Times New Roman" w:hAnsi="Times New Roman"/>
          <w:sz w:val="24"/>
        </w:rPr>
        <w:t xml:space="preserve"> mld EUR. Pozostałe państwa członkowskie – Słowacja, Litwa, Bułgaria, Węgry, Cypr, Malta</w:t>
      </w:r>
      <w:r w:rsidR="00A467B6">
        <w:rPr>
          <w:rFonts w:ascii="Times New Roman" w:hAnsi="Times New Roman"/>
          <w:sz w:val="24"/>
        </w:rPr>
        <w:t xml:space="preserve"> i Łot</w:t>
      </w:r>
      <w:r>
        <w:rPr>
          <w:rFonts w:ascii="Times New Roman" w:hAnsi="Times New Roman"/>
          <w:sz w:val="24"/>
        </w:rPr>
        <w:t>wa – otrzymały pomoc</w:t>
      </w:r>
      <w:r w:rsidR="00A467B6">
        <w:rPr>
          <w:rFonts w:ascii="Times New Roman" w:hAnsi="Times New Roman"/>
          <w:sz w:val="24"/>
        </w:rPr>
        <w:t xml:space="preserve"> w wys</w:t>
      </w:r>
      <w:r>
        <w:rPr>
          <w:rFonts w:ascii="Times New Roman" w:hAnsi="Times New Roman"/>
          <w:sz w:val="24"/>
        </w:rPr>
        <w:t>okości poniżej 1 mld EUR.</w:t>
      </w:r>
    </w:p>
    <w:p w14:paraId="673EB75F" w14:textId="7123E421"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color w:val="000000" w:themeColor="text1"/>
          <w:sz w:val="24"/>
        </w:rPr>
        <w:t>Pierwsze cztery emisje obligacji</w:t>
      </w:r>
      <w:r w:rsidR="00A467B6">
        <w:rPr>
          <w:rFonts w:ascii="Times New Roman" w:hAnsi="Times New Roman"/>
          <w:b/>
          <w:color w:val="000000" w:themeColor="text1"/>
          <w:sz w:val="24"/>
        </w:rPr>
        <w:t xml:space="preserve"> w ram</w:t>
      </w:r>
      <w:r>
        <w:rPr>
          <w:rFonts w:ascii="Times New Roman" w:hAnsi="Times New Roman"/>
          <w:b/>
          <w:color w:val="000000" w:themeColor="text1"/>
          <w:sz w:val="24"/>
        </w:rPr>
        <w:t>ach SURE odniosły duży sukces –</w:t>
      </w:r>
      <w:r w:rsidR="00A467B6">
        <w:rPr>
          <w:rFonts w:ascii="Times New Roman" w:hAnsi="Times New Roman"/>
          <w:b/>
          <w:color w:val="000000" w:themeColor="text1"/>
          <w:sz w:val="24"/>
        </w:rPr>
        <w:t xml:space="preserve"> w okr</w:t>
      </w:r>
      <w:r>
        <w:rPr>
          <w:rFonts w:ascii="Times New Roman" w:hAnsi="Times New Roman"/>
          <w:b/>
          <w:color w:val="000000" w:themeColor="text1"/>
          <w:sz w:val="24"/>
        </w:rPr>
        <w:t>esie od października 20</w:t>
      </w:r>
      <w:r w:rsidRPr="00A467B6">
        <w:rPr>
          <w:rFonts w:ascii="Times New Roman" w:hAnsi="Times New Roman"/>
          <w:b/>
          <w:color w:val="000000" w:themeColor="text1"/>
          <w:sz w:val="24"/>
        </w:rPr>
        <w:t>20</w:t>
      </w:r>
      <w:r w:rsidR="00A467B6" w:rsidRPr="00A467B6">
        <w:rPr>
          <w:rFonts w:ascii="Times New Roman" w:hAnsi="Times New Roman"/>
          <w:b/>
          <w:color w:val="000000" w:themeColor="text1"/>
          <w:sz w:val="24"/>
        </w:rPr>
        <w:t> </w:t>
      </w:r>
      <w:r w:rsidRPr="00A467B6">
        <w:rPr>
          <w:rFonts w:ascii="Times New Roman" w:hAnsi="Times New Roman"/>
          <w:b/>
          <w:color w:val="000000" w:themeColor="text1"/>
          <w:sz w:val="24"/>
        </w:rPr>
        <w:t>r.</w:t>
      </w:r>
      <w:r>
        <w:rPr>
          <w:rFonts w:ascii="Times New Roman" w:hAnsi="Times New Roman"/>
          <w:b/>
          <w:color w:val="000000" w:themeColor="text1"/>
          <w:sz w:val="24"/>
        </w:rPr>
        <w:t xml:space="preserve"> do stycznia 20</w:t>
      </w:r>
      <w:r w:rsidRPr="00A467B6">
        <w:rPr>
          <w:rFonts w:ascii="Times New Roman" w:hAnsi="Times New Roman"/>
          <w:b/>
          <w:color w:val="000000" w:themeColor="text1"/>
          <w:sz w:val="24"/>
        </w:rPr>
        <w:t>21</w:t>
      </w:r>
      <w:r w:rsidR="00A467B6" w:rsidRPr="00A467B6">
        <w:rPr>
          <w:rFonts w:ascii="Times New Roman" w:hAnsi="Times New Roman"/>
          <w:b/>
          <w:color w:val="000000" w:themeColor="text1"/>
          <w:sz w:val="24"/>
        </w:rPr>
        <w:t> </w:t>
      </w:r>
      <w:r w:rsidRPr="00A467B6">
        <w:rPr>
          <w:rFonts w:ascii="Times New Roman" w:hAnsi="Times New Roman"/>
          <w:b/>
          <w:color w:val="000000" w:themeColor="text1"/>
          <w:sz w:val="24"/>
        </w:rPr>
        <w:t>r.</w:t>
      </w:r>
      <w:r>
        <w:rPr>
          <w:rFonts w:ascii="Times New Roman" w:hAnsi="Times New Roman"/>
          <w:b/>
          <w:color w:val="000000" w:themeColor="text1"/>
          <w:sz w:val="24"/>
        </w:rPr>
        <w:t xml:space="preserve"> pozyskano 53,5 mld EUR.</w:t>
      </w:r>
      <w:r>
        <w:rPr>
          <w:rFonts w:ascii="Times New Roman" w:hAnsi="Times New Roman"/>
          <w:color w:val="000000" w:themeColor="text1"/>
          <w:sz w:val="24"/>
        </w:rPr>
        <w:t xml:space="preserve"> Pierwszą transakcję na kwotę 17 mld EUR przeprowadzono pomyślnie</w:t>
      </w:r>
      <w:r w:rsidR="00A467B6">
        <w:rPr>
          <w:rFonts w:ascii="Times New Roman" w:hAnsi="Times New Roman"/>
          <w:color w:val="000000" w:themeColor="text1"/>
          <w:sz w:val="24"/>
        </w:rPr>
        <w:t xml:space="preserve"> w dwó</w:t>
      </w:r>
      <w:r>
        <w:rPr>
          <w:rFonts w:ascii="Times New Roman" w:hAnsi="Times New Roman"/>
          <w:color w:val="000000" w:themeColor="text1"/>
          <w:sz w:val="24"/>
        </w:rPr>
        <w:t>ch transzach</w:t>
      </w:r>
      <w:r w:rsidR="00A467B6">
        <w:rPr>
          <w:rFonts w:ascii="Times New Roman" w:hAnsi="Times New Roman"/>
          <w:color w:val="000000" w:themeColor="text1"/>
          <w:sz w:val="24"/>
        </w:rPr>
        <w:t xml:space="preserve"> w dni</w:t>
      </w:r>
      <w:r>
        <w:rPr>
          <w:rFonts w:ascii="Times New Roman" w:hAnsi="Times New Roman"/>
          <w:color w:val="000000" w:themeColor="text1"/>
          <w:sz w:val="24"/>
        </w:rPr>
        <w:t>u 20 października 20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Pięć tygodni później</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dwóch dodatkowych transakcji pozyskano łącznie blisko 40 mld, co pokryło ponad połowę zapotrzebowania państw członkowskich, które wystąpiły</w:t>
      </w:r>
      <w:r w:rsidR="00A467B6">
        <w:rPr>
          <w:rFonts w:ascii="Times New Roman" w:hAnsi="Times New Roman"/>
          <w:color w:val="000000" w:themeColor="text1"/>
          <w:sz w:val="24"/>
        </w:rPr>
        <w:t xml:space="preserve"> o duż</w:t>
      </w:r>
      <w:r>
        <w:rPr>
          <w:rFonts w:ascii="Times New Roman" w:hAnsi="Times New Roman"/>
          <w:color w:val="000000" w:themeColor="text1"/>
          <w:sz w:val="24"/>
        </w:rPr>
        <w:t>e wypłaty</w:t>
      </w:r>
      <w:r w:rsidR="00A467B6">
        <w:rPr>
          <w:rFonts w:ascii="Times New Roman" w:hAnsi="Times New Roman"/>
          <w:color w:val="000000" w:themeColor="text1"/>
          <w:sz w:val="24"/>
        </w:rPr>
        <w:t xml:space="preserve"> w 2</w:t>
      </w:r>
      <w:r>
        <w:rPr>
          <w:rFonts w:ascii="Times New Roman" w:hAnsi="Times New Roman"/>
          <w:color w:val="000000" w:themeColor="text1"/>
          <w:sz w:val="24"/>
        </w:rPr>
        <w:t>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Czwarta transakcja, przeprowadzona</w:t>
      </w:r>
      <w:r w:rsidR="00A467B6">
        <w:rPr>
          <w:rFonts w:ascii="Times New Roman" w:hAnsi="Times New Roman"/>
          <w:color w:val="000000" w:themeColor="text1"/>
          <w:sz w:val="24"/>
        </w:rPr>
        <w:t xml:space="preserve"> w sty</w:t>
      </w:r>
      <w:r>
        <w:rPr>
          <w:rFonts w:ascii="Times New Roman" w:hAnsi="Times New Roman"/>
          <w:color w:val="000000" w:themeColor="text1"/>
          <w:sz w:val="24"/>
        </w:rPr>
        <w:t>czniu 20</w:t>
      </w:r>
      <w:r w:rsidRPr="00A467B6">
        <w:rPr>
          <w:rFonts w:ascii="Times New Roman" w:hAnsi="Times New Roman"/>
          <w:color w:val="000000" w:themeColor="text1"/>
          <w:sz w:val="24"/>
        </w:rPr>
        <w:t>21</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przyniosła kolejne 14 mld EUR. Emisje te charakteryzowały się znaczną nadsubskrypcją ze strony inwestorów, średnio ponad 10-krotną, co skutkowało korzystnymi warunkami wyceny,</w:t>
      </w:r>
      <w:r w:rsidR="00A467B6">
        <w:rPr>
          <w:rFonts w:ascii="Times New Roman" w:hAnsi="Times New Roman"/>
          <w:color w:val="000000" w:themeColor="text1"/>
          <w:sz w:val="24"/>
        </w:rPr>
        <w:t xml:space="preserve"> w tym</w:t>
      </w:r>
      <w:r>
        <w:rPr>
          <w:rFonts w:ascii="Times New Roman" w:hAnsi="Times New Roman"/>
          <w:color w:val="000000" w:themeColor="text1"/>
          <w:sz w:val="24"/>
        </w:rPr>
        <w:t xml:space="preserve"> ujemnymi stopami zwrotu</w:t>
      </w:r>
      <w:r w:rsidR="00A467B6">
        <w:rPr>
          <w:rFonts w:ascii="Times New Roman" w:hAnsi="Times New Roman"/>
          <w:color w:val="000000" w:themeColor="text1"/>
          <w:sz w:val="24"/>
        </w:rPr>
        <w:t xml:space="preserve"> z obl</w:t>
      </w:r>
      <w:r>
        <w:rPr>
          <w:rFonts w:ascii="Times New Roman" w:hAnsi="Times New Roman"/>
          <w:color w:val="000000" w:themeColor="text1"/>
          <w:sz w:val="24"/>
        </w:rPr>
        <w:t>igacji</w:t>
      </w:r>
      <w:r w:rsidR="00A467B6">
        <w:rPr>
          <w:rFonts w:ascii="Times New Roman" w:hAnsi="Times New Roman"/>
          <w:color w:val="000000" w:themeColor="text1"/>
          <w:sz w:val="24"/>
        </w:rPr>
        <w:t xml:space="preserve"> o ter</w:t>
      </w:r>
      <w:r>
        <w:rPr>
          <w:rFonts w:ascii="Times New Roman" w:hAnsi="Times New Roman"/>
          <w:color w:val="000000" w:themeColor="text1"/>
          <w:sz w:val="24"/>
        </w:rPr>
        <w:t xml:space="preserve">minie zapadalności </w:t>
      </w:r>
      <w:r w:rsidRPr="00A467B6">
        <w:rPr>
          <w:rFonts w:ascii="Times New Roman" w:hAnsi="Times New Roman"/>
          <w:color w:val="000000" w:themeColor="text1"/>
          <w:sz w:val="24"/>
        </w:rPr>
        <w:t>do</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1</w:t>
      </w:r>
      <w:r>
        <w:rPr>
          <w:rFonts w:ascii="Times New Roman" w:hAnsi="Times New Roman"/>
          <w:color w:val="000000" w:themeColor="text1"/>
          <w:sz w:val="24"/>
        </w:rPr>
        <w:t xml:space="preserve">5 lat włącznie. </w:t>
      </w:r>
    </w:p>
    <w:p w14:paraId="6C0DA069" w14:textId="4B8D043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Wykorzystanie SURE przez państwa członkowskie korzystające</w:t>
      </w:r>
      <w:r w:rsidR="00A467B6">
        <w:rPr>
          <w:rFonts w:ascii="Times New Roman" w:hAnsi="Times New Roman"/>
          <w:i/>
          <w:color w:val="000000" w:themeColor="text1"/>
          <w:sz w:val="24"/>
          <w:szCs w:val="24"/>
        </w:rPr>
        <w:t xml:space="preserve"> z pom</w:t>
      </w:r>
      <w:r>
        <w:rPr>
          <w:rFonts w:ascii="Times New Roman" w:hAnsi="Times New Roman"/>
          <w:i/>
          <w:color w:val="000000" w:themeColor="text1"/>
          <w:sz w:val="24"/>
          <w:szCs w:val="24"/>
        </w:rPr>
        <w:t>ocy</w:t>
      </w:r>
    </w:p>
    <w:p w14:paraId="61CFC15F" w14:textId="7CFF75EA"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Spośród 18 państw członkowskich, którym przyznano pomoc</w:t>
      </w:r>
      <w:r w:rsidR="00A467B6">
        <w:rPr>
          <w:rFonts w:ascii="Times New Roman" w:hAnsi="Times New Roman"/>
          <w:b/>
          <w:sz w:val="24"/>
          <w:szCs w:val="24"/>
        </w:rPr>
        <w:t xml:space="preserve"> w ram</w:t>
      </w:r>
      <w:r>
        <w:rPr>
          <w:rFonts w:ascii="Times New Roman" w:hAnsi="Times New Roman"/>
          <w:b/>
          <w:sz w:val="24"/>
          <w:szCs w:val="24"/>
        </w:rPr>
        <w:t xml:space="preserve">ach SURE, 15 państw członkowskich wykorzystało otrzymane środki na wsparcie sfinansowania mechanizmów zmniejszonego wymiaru czasu pracy. </w:t>
      </w:r>
      <w:r>
        <w:rPr>
          <w:rFonts w:ascii="Times New Roman" w:hAnsi="Times New Roman"/>
          <w:sz w:val="24"/>
          <w:szCs w:val="24"/>
        </w:rPr>
        <w:t>Większość państw członkowskich korzystających</w:t>
      </w:r>
      <w:r w:rsidR="00A467B6">
        <w:rPr>
          <w:rFonts w:ascii="Times New Roman" w:hAnsi="Times New Roman"/>
          <w:sz w:val="24"/>
          <w:szCs w:val="24"/>
        </w:rPr>
        <w:t xml:space="preserve"> z pom</w:t>
      </w:r>
      <w:r>
        <w:rPr>
          <w:rFonts w:ascii="Times New Roman" w:hAnsi="Times New Roman"/>
          <w:sz w:val="24"/>
          <w:szCs w:val="24"/>
        </w:rPr>
        <w:t>ocy złożyła również wnioski</w:t>
      </w:r>
      <w:r w:rsidR="00A467B6">
        <w:rPr>
          <w:rFonts w:ascii="Times New Roman" w:hAnsi="Times New Roman"/>
          <w:sz w:val="24"/>
          <w:szCs w:val="24"/>
        </w:rPr>
        <w:t xml:space="preserve"> o wsp</w:t>
      </w:r>
      <w:r>
        <w:rPr>
          <w:rFonts w:ascii="Times New Roman" w:hAnsi="Times New Roman"/>
          <w:sz w:val="24"/>
          <w:szCs w:val="24"/>
        </w:rPr>
        <w:t>arcie</w:t>
      </w:r>
      <w:r w:rsidR="00A467B6">
        <w:rPr>
          <w:rFonts w:ascii="Times New Roman" w:hAnsi="Times New Roman"/>
          <w:sz w:val="24"/>
          <w:szCs w:val="24"/>
        </w:rPr>
        <w:t xml:space="preserve"> w cel</w:t>
      </w:r>
      <w:r>
        <w:rPr>
          <w:rFonts w:ascii="Times New Roman" w:hAnsi="Times New Roman"/>
          <w:sz w:val="24"/>
          <w:szCs w:val="24"/>
        </w:rPr>
        <w:t>u sfinansowania „środków podobnych do mechanizmów zmniejszonego wymiaru czasu pracy”; 14</w:t>
      </w:r>
      <w:r w:rsidR="00A467B6">
        <w:rPr>
          <w:rFonts w:ascii="Times New Roman" w:hAnsi="Times New Roman"/>
          <w:sz w:val="24"/>
          <w:szCs w:val="24"/>
        </w:rPr>
        <w:t xml:space="preserve"> z tyc</w:t>
      </w:r>
      <w:r>
        <w:rPr>
          <w:rFonts w:ascii="Times New Roman" w:hAnsi="Times New Roman"/>
          <w:sz w:val="24"/>
          <w:szCs w:val="24"/>
        </w:rPr>
        <w:t xml:space="preserve">h państw członkowskich finansuje wsparcie dla osób samozatrudnionych. Wszystkie środki zaproponowane przez państwa członkowskie uznano za kwalifikujące się do pomocy finansowej. Był to efekt </w:t>
      </w:r>
      <w:r>
        <w:rPr>
          <w:rFonts w:ascii="Times New Roman" w:hAnsi="Times New Roman"/>
          <w:color w:val="000000" w:themeColor="text1"/>
          <w:sz w:val="24"/>
        </w:rPr>
        <w:t>wczesnego włączenia państw członkowskich</w:t>
      </w:r>
      <w:r w:rsidR="00A467B6">
        <w:rPr>
          <w:rFonts w:ascii="Times New Roman" w:hAnsi="Times New Roman"/>
          <w:color w:val="000000" w:themeColor="text1"/>
          <w:sz w:val="24"/>
        </w:rPr>
        <w:t xml:space="preserve"> w pla</w:t>
      </w:r>
      <w:r>
        <w:rPr>
          <w:rFonts w:ascii="Times New Roman" w:hAnsi="Times New Roman"/>
          <w:color w:val="000000" w:themeColor="text1"/>
          <w:sz w:val="24"/>
        </w:rPr>
        <w:t>nowanie</w:t>
      </w:r>
      <w:r w:rsidR="00A467B6">
        <w:rPr>
          <w:rFonts w:ascii="Times New Roman" w:hAnsi="Times New Roman"/>
          <w:color w:val="000000" w:themeColor="text1"/>
          <w:sz w:val="24"/>
        </w:rPr>
        <w:t xml:space="preserve"> i jak</w:t>
      </w:r>
      <w:r>
        <w:rPr>
          <w:rFonts w:ascii="Times New Roman" w:hAnsi="Times New Roman"/>
          <w:color w:val="000000" w:themeColor="text1"/>
          <w:sz w:val="24"/>
        </w:rPr>
        <w:t xml:space="preserve"> najszybsze przygotowanie wdrożenia tego instrumentu,</w:t>
      </w:r>
      <w:r w:rsidR="00A467B6">
        <w:rPr>
          <w:rFonts w:ascii="Times New Roman" w:hAnsi="Times New Roman"/>
          <w:color w:val="000000" w:themeColor="text1"/>
          <w:sz w:val="24"/>
        </w:rPr>
        <w:t xml:space="preserve"> w tym</w:t>
      </w:r>
      <w:r>
        <w:rPr>
          <w:rFonts w:ascii="Times New Roman" w:hAnsi="Times New Roman"/>
          <w:color w:val="000000" w:themeColor="text1"/>
          <w:sz w:val="24"/>
        </w:rPr>
        <w:t xml:space="preserve"> przez wyjaśnienie jego zakresu</w:t>
      </w:r>
      <w:r w:rsidR="00A467B6">
        <w:rPr>
          <w:rFonts w:ascii="Times New Roman" w:hAnsi="Times New Roman"/>
          <w:sz w:val="24"/>
          <w:szCs w:val="24"/>
        </w:rPr>
        <w:t>.</w:t>
      </w:r>
      <w:r w:rsidR="00A467B6">
        <w:rPr>
          <w:rFonts w:ascii="Times New Roman" w:hAnsi="Times New Roman"/>
          <w:sz w:val="24"/>
        </w:rPr>
        <w:t xml:space="preserve"> </w:t>
      </w:r>
      <w:r w:rsidR="00A467B6">
        <w:rPr>
          <w:rFonts w:ascii="Times New Roman" w:hAnsi="Times New Roman"/>
          <w:sz w:val="24"/>
          <w:szCs w:val="24"/>
        </w:rPr>
        <w:t>W wię</w:t>
      </w:r>
      <w:r>
        <w:rPr>
          <w:rFonts w:ascii="Times New Roman" w:hAnsi="Times New Roman"/>
          <w:sz w:val="24"/>
          <w:szCs w:val="24"/>
        </w:rPr>
        <w:t>kszości przypadków objęte wsparciem mechanizmy zmniejszonego wymiaru czasu pracy są nowymi mechanizmami opracowanymi</w:t>
      </w:r>
      <w:r w:rsidR="00A467B6">
        <w:rPr>
          <w:rFonts w:ascii="Times New Roman" w:hAnsi="Times New Roman"/>
          <w:sz w:val="24"/>
          <w:szCs w:val="24"/>
        </w:rPr>
        <w:t xml:space="preserve"> w rea</w:t>
      </w:r>
      <w:r>
        <w:rPr>
          <w:rFonts w:ascii="Times New Roman" w:hAnsi="Times New Roman"/>
          <w:sz w:val="24"/>
          <w:szCs w:val="24"/>
        </w:rPr>
        <w:t>kcji na pandemię COVID-19. Dziewięć państw członkowskich wystąpiło również</w:t>
      </w:r>
      <w:r w:rsidR="00A467B6">
        <w:rPr>
          <w:rFonts w:ascii="Times New Roman" w:hAnsi="Times New Roman"/>
          <w:sz w:val="24"/>
          <w:szCs w:val="24"/>
        </w:rPr>
        <w:t xml:space="preserve"> o pom</w:t>
      </w:r>
      <w:r>
        <w:rPr>
          <w:rFonts w:ascii="Times New Roman" w:hAnsi="Times New Roman"/>
          <w:sz w:val="24"/>
          <w:szCs w:val="24"/>
        </w:rPr>
        <w:t>oc finansową</w:t>
      </w:r>
      <w:r w:rsidR="00A467B6">
        <w:rPr>
          <w:rFonts w:ascii="Times New Roman" w:hAnsi="Times New Roman"/>
          <w:sz w:val="24"/>
          <w:szCs w:val="24"/>
        </w:rPr>
        <w:t xml:space="preserve"> w ram</w:t>
      </w:r>
      <w:r>
        <w:rPr>
          <w:rFonts w:ascii="Times New Roman" w:hAnsi="Times New Roman"/>
          <w:sz w:val="24"/>
          <w:szCs w:val="24"/>
        </w:rPr>
        <w:t>ach SURE na pokrycie wydatków na ochronę zdrowia związanych bezpośrednio</w:t>
      </w:r>
      <w:r w:rsidR="00A467B6">
        <w:rPr>
          <w:rFonts w:ascii="Times New Roman" w:hAnsi="Times New Roman"/>
          <w:sz w:val="24"/>
          <w:szCs w:val="24"/>
        </w:rPr>
        <w:t xml:space="preserve"> z syt</w:t>
      </w:r>
      <w:r>
        <w:rPr>
          <w:rFonts w:ascii="Times New Roman" w:hAnsi="Times New Roman"/>
          <w:sz w:val="24"/>
          <w:szCs w:val="24"/>
        </w:rPr>
        <w:t xml:space="preserve">uacją nadzwyczajną wynikającą z COVID-19. </w:t>
      </w:r>
    </w:p>
    <w:p w14:paraId="7A3A42A2" w14:textId="2C1E0354" w:rsidR="009D29AB" w:rsidRPr="009D29AB" w:rsidRDefault="009D29AB" w:rsidP="009D29AB">
      <w:pPr>
        <w:jc w:val="both"/>
        <w:rPr>
          <w:rFonts w:ascii="Times New Roman" w:hAnsi="Times New Roman" w:cs="Times New Roman"/>
          <w:color w:val="FF0000"/>
          <w:sz w:val="24"/>
          <w:szCs w:val="24"/>
        </w:rPr>
      </w:pPr>
      <w:r>
        <w:rPr>
          <w:rFonts w:ascii="Times New Roman" w:hAnsi="Times New Roman"/>
          <w:b/>
          <w:color w:val="000000" w:themeColor="text1"/>
          <w:sz w:val="24"/>
          <w:szCs w:val="24"/>
        </w:rPr>
        <w:t>Szacuje się, że</w:t>
      </w:r>
      <w:r w:rsidR="00A467B6">
        <w:rPr>
          <w:rFonts w:ascii="Times New Roman" w:hAnsi="Times New Roman"/>
          <w:b/>
          <w:color w:val="000000" w:themeColor="text1"/>
          <w:sz w:val="24"/>
          <w:szCs w:val="24"/>
        </w:rPr>
        <w:t xml:space="preserve"> w 2</w:t>
      </w:r>
      <w:r>
        <w:rPr>
          <w:rFonts w:ascii="Times New Roman" w:hAnsi="Times New Roman"/>
          <w:b/>
          <w:color w:val="000000" w:themeColor="text1"/>
          <w:sz w:val="24"/>
          <w:szCs w:val="24"/>
        </w:rPr>
        <w:t>0</w:t>
      </w:r>
      <w:r w:rsidRPr="00A467B6">
        <w:rPr>
          <w:rFonts w:ascii="Times New Roman" w:hAnsi="Times New Roman"/>
          <w:b/>
          <w:color w:val="000000" w:themeColor="text1"/>
          <w:sz w:val="24"/>
          <w:szCs w:val="24"/>
        </w:rPr>
        <w:t>20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wsparciem</w:t>
      </w:r>
      <w:r w:rsidR="00A467B6">
        <w:rPr>
          <w:rFonts w:ascii="Times New Roman" w:hAnsi="Times New Roman"/>
          <w:b/>
          <w:color w:val="000000" w:themeColor="text1"/>
          <w:sz w:val="24"/>
          <w:szCs w:val="24"/>
        </w:rPr>
        <w:t xml:space="preserve"> w ram</w:t>
      </w:r>
      <w:r>
        <w:rPr>
          <w:rFonts w:ascii="Times New Roman" w:hAnsi="Times New Roman"/>
          <w:b/>
          <w:color w:val="000000" w:themeColor="text1"/>
          <w:sz w:val="24"/>
          <w:szCs w:val="24"/>
        </w:rPr>
        <w:t>ach SURE zostało objętych 25–30 mln osób, co odpowiada jednej czwartej całkowitego zatrudnienia</w:t>
      </w:r>
      <w:r w:rsidR="00A467B6">
        <w:rPr>
          <w:rFonts w:ascii="Times New Roman" w:hAnsi="Times New Roman"/>
          <w:b/>
          <w:color w:val="000000" w:themeColor="text1"/>
          <w:sz w:val="24"/>
          <w:szCs w:val="24"/>
        </w:rPr>
        <w:t xml:space="preserve"> w pań</w:t>
      </w:r>
      <w:r>
        <w:rPr>
          <w:rFonts w:ascii="Times New Roman" w:hAnsi="Times New Roman"/>
          <w:b/>
          <w:color w:val="000000" w:themeColor="text1"/>
          <w:sz w:val="24"/>
          <w:szCs w:val="24"/>
        </w:rPr>
        <w:t>stwach członkowskich korzystających</w:t>
      </w:r>
      <w:r w:rsidR="00A467B6">
        <w:rPr>
          <w:rFonts w:ascii="Times New Roman" w:hAnsi="Times New Roman"/>
          <w:b/>
          <w:color w:val="000000" w:themeColor="text1"/>
          <w:sz w:val="24"/>
          <w:szCs w:val="24"/>
        </w:rPr>
        <w:t xml:space="preserve"> z pom</w:t>
      </w:r>
      <w:r>
        <w:rPr>
          <w:rFonts w:ascii="Times New Roman" w:hAnsi="Times New Roman"/>
          <w:b/>
          <w:color w:val="000000" w:themeColor="text1"/>
          <w:sz w:val="24"/>
          <w:szCs w:val="24"/>
        </w:rPr>
        <w:t>ocy.</w:t>
      </w:r>
      <w:r>
        <w:rPr>
          <w:rFonts w:ascii="Times New Roman" w:hAnsi="Times New Roman"/>
          <w:sz w:val="24"/>
          <w:szCs w:val="24"/>
        </w:rPr>
        <w:t xml:space="preserve"> Liczba ta </w:t>
      </w:r>
      <w:r>
        <w:rPr>
          <w:rFonts w:ascii="Times New Roman" w:hAnsi="Times New Roman"/>
          <w:color w:val="000000" w:themeColor="text1"/>
          <w:sz w:val="24"/>
          <w:szCs w:val="24"/>
        </w:rPr>
        <w:t>obejmuje około 21½ mln pracowników oraz 5 mln osób samozatrudnionych</w:t>
      </w:r>
      <w:r w:rsidR="00A467B6">
        <w:rPr>
          <w:rFonts w:ascii="Times New Roman" w:hAnsi="Times New Roman"/>
          <w:color w:val="000000" w:themeColor="text1"/>
          <w:sz w:val="24"/>
          <w:szCs w:val="24"/>
        </w:rPr>
        <w:t xml:space="preserve"> i </w:t>
      </w:r>
      <w:r w:rsidR="00A467B6">
        <w:rPr>
          <w:rFonts w:ascii="Times New Roman" w:hAnsi="Times New Roman"/>
          <w:sz w:val="24"/>
          <w:szCs w:val="24"/>
        </w:rPr>
        <w:t>nal</w:t>
      </w:r>
      <w:r>
        <w:rPr>
          <w:rFonts w:ascii="Times New Roman" w:hAnsi="Times New Roman"/>
          <w:sz w:val="24"/>
          <w:szCs w:val="24"/>
        </w:rPr>
        <w:t>eży ją porównać</w:t>
      </w:r>
      <w:r w:rsidR="00A467B6">
        <w:rPr>
          <w:rFonts w:ascii="Times New Roman" w:hAnsi="Times New Roman"/>
          <w:sz w:val="24"/>
          <w:szCs w:val="24"/>
        </w:rPr>
        <w:t xml:space="preserve"> z łąc</w:t>
      </w:r>
      <w:r>
        <w:rPr>
          <w:rFonts w:ascii="Times New Roman" w:hAnsi="Times New Roman"/>
          <w:sz w:val="24"/>
          <w:szCs w:val="24"/>
        </w:rPr>
        <w:t>zną liczbą 35 mln osób, które skorzystały</w:t>
      </w:r>
      <w:r w:rsidR="00A467B6">
        <w:rPr>
          <w:rFonts w:ascii="Times New Roman" w:hAnsi="Times New Roman"/>
          <w:sz w:val="24"/>
          <w:szCs w:val="24"/>
        </w:rPr>
        <w:t xml:space="preserve"> z mec</w:t>
      </w:r>
      <w:r>
        <w:rPr>
          <w:rFonts w:ascii="Times New Roman" w:hAnsi="Times New Roman"/>
          <w:sz w:val="24"/>
          <w:szCs w:val="24"/>
        </w:rPr>
        <w:t>hanizmów zmniejszonego wymiaru czasu pracy w UE. Na podstawie sprawozdań państw członkowskich szacuje się, że</w:t>
      </w:r>
      <w:r w:rsidR="00A467B6">
        <w:rPr>
          <w:rFonts w:ascii="Times New Roman" w:hAnsi="Times New Roman"/>
          <w:sz w:val="24"/>
          <w:szCs w:val="24"/>
        </w:rPr>
        <w:t xml:space="preserve"> w 2</w:t>
      </w:r>
      <w:r>
        <w:rPr>
          <w:rFonts w:ascii="Times New Roman" w:hAnsi="Times New Roman"/>
          <w:sz w:val="24"/>
          <w:szCs w:val="24"/>
        </w:rPr>
        <w:t>0</w:t>
      </w:r>
      <w:r w:rsidRPr="00A467B6">
        <w:rPr>
          <w:rFonts w:ascii="Times New Roman" w:hAnsi="Times New Roman"/>
          <w:sz w:val="24"/>
          <w:szCs w:val="24"/>
        </w:rPr>
        <w:t>20</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wsparcie</w:t>
      </w:r>
      <w:r w:rsidR="00A467B6">
        <w:rPr>
          <w:rFonts w:ascii="Times New Roman" w:hAnsi="Times New Roman"/>
          <w:sz w:val="24"/>
          <w:szCs w:val="24"/>
        </w:rPr>
        <w:t xml:space="preserve"> w ram</w:t>
      </w:r>
      <w:r>
        <w:rPr>
          <w:rFonts w:ascii="Times New Roman" w:hAnsi="Times New Roman"/>
          <w:sz w:val="24"/>
          <w:szCs w:val="24"/>
        </w:rPr>
        <w:t xml:space="preserve">ach SURE otrzymało 1½ mln–2½ mln przedsiębiorstw, </w:t>
      </w:r>
      <w:r w:rsidRPr="00A467B6">
        <w:rPr>
          <w:rFonts w:ascii="Times New Roman" w:hAnsi="Times New Roman"/>
          <w:sz w:val="24"/>
          <w:szCs w:val="24"/>
        </w:rPr>
        <w:t>tj.</w:t>
      </w:r>
      <w:r w:rsidR="00A467B6" w:rsidRPr="00A467B6">
        <w:rPr>
          <w:rFonts w:ascii="Times New Roman" w:hAnsi="Times New Roman"/>
          <w:sz w:val="24"/>
          <w:szCs w:val="24"/>
        </w:rPr>
        <w:t> </w:t>
      </w:r>
      <w:r w:rsidRPr="00A467B6">
        <w:rPr>
          <w:rFonts w:ascii="Times New Roman" w:hAnsi="Times New Roman"/>
          <w:sz w:val="24"/>
          <w:szCs w:val="24"/>
        </w:rPr>
        <w:t>1</w:t>
      </w:r>
      <w:r>
        <w:rPr>
          <w:rFonts w:ascii="Times New Roman" w:hAnsi="Times New Roman"/>
          <w:sz w:val="24"/>
          <w:szCs w:val="24"/>
        </w:rPr>
        <w:t>2–1</w:t>
      </w:r>
      <w:r w:rsidRPr="00A467B6">
        <w:rPr>
          <w:rFonts w:ascii="Times New Roman" w:hAnsi="Times New Roman"/>
          <w:sz w:val="24"/>
          <w:szCs w:val="24"/>
        </w:rPr>
        <w:t>6</w:t>
      </w:r>
      <w:r w:rsidR="00A467B6" w:rsidRPr="00A467B6">
        <w:rPr>
          <w:rFonts w:ascii="Times New Roman" w:hAnsi="Times New Roman"/>
          <w:sz w:val="24"/>
          <w:szCs w:val="24"/>
        </w:rPr>
        <w:t> </w:t>
      </w:r>
      <w:r w:rsidRPr="00A467B6">
        <w:rPr>
          <w:rFonts w:ascii="Times New Roman" w:hAnsi="Times New Roman"/>
          <w:sz w:val="24"/>
          <w:szCs w:val="24"/>
        </w:rPr>
        <w:t>%</w:t>
      </w:r>
      <w:r>
        <w:rPr>
          <w:rFonts w:ascii="Times New Roman" w:hAnsi="Times New Roman"/>
          <w:sz w:val="24"/>
          <w:szCs w:val="24"/>
        </w:rPr>
        <w:t xml:space="preserve"> przedsiębiorstw,</w:t>
      </w:r>
      <w:r w:rsidR="00A467B6">
        <w:rPr>
          <w:rFonts w:ascii="Times New Roman" w:hAnsi="Times New Roman"/>
          <w:sz w:val="24"/>
          <w:szCs w:val="24"/>
        </w:rPr>
        <w:t xml:space="preserve"> w pań</w:t>
      </w:r>
      <w:r>
        <w:rPr>
          <w:rFonts w:ascii="Times New Roman" w:hAnsi="Times New Roman"/>
          <w:sz w:val="24"/>
          <w:szCs w:val="24"/>
        </w:rPr>
        <w:t>stwach członkowskich korzystających</w:t>
      </w:r>
      <w:r w:rsidR="00A467B6">
        <w:rPr>
          <w:rFonts w:ascii="Times New Roman" w:hAnsi="Times New Roman"/>
          <w:sz w:val="24"/>
          <w:szCs w:val="24"/>
        </w:rPr>
        <w:t xml:space="preserve"> z pom</w:t>
      </w:r>
      <w:r>
        <w:rPr>
          <w:rFonts w:ascii="Times New Roman" w:hAnsi="Times New Roman"/>
          <w:sz w:val="24"/>
          <w:szCs w:val="24"/>
        </w:rPr>
        <w:t>ocy. Sprawozdawczość ta jest jednak niepełna</w:t>
      </w:r>
      <w:r w:rsidR="00A467B6">
        <w:rPr>
          <w:rFonts w:ascii="Times New Roman" w:hAnsi="Times New Roman"/>
          <w:sz w:val="24"/>
          <w:szCs w:val="24"/>
        </w:rPr>
        <w:t xml:space="preserve"> i nie</w:t>
      </w:r>
      <w:r>
        <w:rPr>
          <w:rFonts w:ascii="Times New Roman" w:hAnsi="Times New Roman"/>
          <w:sz w:val="24"/>
          <w:szCs w:val="24"/>
        </w:rPr>
        <w:t>jednolita</w:t>
      </w:r>
      <w:r w:rsidR="00A467B6">
        <w:rPr>
          <w:rFonts w:ascii="Times New Roman" w:hAnsi="Times New Roman"/>
          <w:sz w:val="24"/>
          <w:szCs w:val="24"/>
        </w:rPr>
        <w:t xml:space="preserve"> w pos</w:t>
      </w:r>
      <w:r>
        <w:rPr>
          <w:rFonts w:ascii="Times New Roman" w:hAnsi="Times New Roman"/>
          <w:sz w:val="24"/>
          <w:szCs w:val="24"/>
        </w:rPr>
        <w:t xml:space="preserve">zczególnych państwach członkowskich. </w:t>
      </w:r>
    </w:p>
    <w:p w14:paraId="281B3AFD" w14:textId="62AB88FD"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Do końca 20</w:t>
      </w:r>
      <w:r w:rsidRPr="00A467B6">
        <w:rPr>
          <w:rFonts w:ascii="Times New Roman" w:hAnsi="Times New Roman"/>
          <w:b/>
          <w:color w:val="000000" w:themeColor="text1"/>
          <w:sz w:val="24"/>
          <w:szCs w:val="24"/>
        </w:rPr>
        <w:t>20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zrealizowano już 8</w:t>
      </w:r>
      <w:r w:rsidRPr="00A467B6">
        <w:rPr>
          <w:rFonts w:ascii="Times New Roman" w:hAnsi="Times New Roman"/>
          <w:b/>
          <w:color w:val="000000" w:themeColor="text1"/>
          <w:sz w:val="24"/>
          <w:szCs w:val="24"/>
        </w:rPr>
        <w:t>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całkowitych planowanych wydatków publicznych na kwalifikujące się środki</w:t>
      </w:r>
      <w:r w:rsidR="00A467B6">
        <w:rPr>
          <w:rFonts w:ascii="Times New Roman" w:hAnsi="Times New Roman"/>
          <w:b/>
          <w:color w:val="000000" w:themeColor="text1"/>
          <w:sz w:val="24"/>
          <w:szCs w:val="24"/>
        </w:rPr>
        <w:t xml:space="preserve">. </w:t>
      </w:r>
      <w:r w:rsidR="00A467B6">
        <w:rPr>
          <w:rFonts w:ascii="Times New Roman" w:hAnsi="Times New Roman"/>
          <w:color w:val="000000" w:themeColor="text1"/>
          <w:sz w:val="24"/>
          <w:szCs w:val="24"/>
        </w:rPr>
        <w:t>W</w:t>
      </w:r>
      <w:r w:rsidR="00A467B6">
        <w:rPr>
          <w:rFonts w:ascii="Times New Roman" w:hAnsi="Times New Roman"/>
          <w:b/>
          <w:color w:val="000000" w:themeColor="text1"/>
          <w:sz w:val="24"/>
          <w:szCs w:val="24"/>
        </w:rPr>
        <w:t> </w:t>
      </w:r>
      <w:r w:rsidR="00A467B6">
        <w:rPr>
          <w:rFonts w:ascii="Times New Roman" w:hAnsi="Times New Roman"/>
          <w:color w:val="000000" w:themeColor="text1"/>
          <w:sz w:val="24"/>
          <w:szCs w:val="24"/>
        </w:rPr>
        <w:t>spr</w:t>
      </w:r>
      <w:r>
        <w:rPr>
          <w:rFonts w:ascii="Times New Roman" w:hAnsi="Times New Roman"/>
          <w:color w:val="000000" w:themeColor="text1"/>
          <w:sz w:val="24"/>
          <w:szCs w:val="24"/>
        </w:rPr>
        <w:t>awozdaniu przedstawiono planowane</w:t>
      </w:r>
      <w:r w:rsidR="00A467B6">
        <w:rPr>
          <w:rFonts w:ascii="Times New Roman" w:hAnsi="Times New Roman"/>
          <w:color w:val="000000" w:themeColor="text1"/>
          <w:sz w:val="24"/>
          <w:szCs w:val="24"/>
        </w:rPr>
        <w:t xml:space="preserve"> i fak</w:t>
      </w:r>
      <w:r>
        <w:rPr>
          <w:rFonts w:ascii="Times New Roman" w:hAnsi="Times New Roman"/>
          <w:color w:val="000000" w:themeColor="text1"/>
          <w:sz w:val="24"/>
          <w:szCs w:val="24"/>
        </w:rPr>
        <w:t>tyczne wykorzystanie pomocy finansowej przyznanej</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na podstawie danych zgłoszonych przez wszystkie państwa członkowskie korzystające</w:t>
      </w:r>
      <w:r w:rsidR="00A467B6">
        <w:rPr>
          <w:rFonts w:ascii="Times New Roman" w:hAnsi="Times New Roman"/>
          <w:color w:val="000000" w:themeColor="text1"/>
          <w:sz w:val="24"/>
          <w:szCs w:val="24"/>
        </w:rPr>
        <w:t xml:space="preserve"> z pom</w:t>
      </w:r>
      <w:r>
        <w:rPr>
          <w:rFonts w:ascii="Times New Roman" w:hAnsi="Times New Roman"/>
          <w:color w:val="000000" w:themeColor="text1"/>
          <w:sz w:val="24"/>
          <w:szCs w:val="24"/>
        </w:rPr>
        <w:t>ocy poza jednym</w:t>
      </w:r>
      <w:r w:rsidR="00A467B6">
        <w:rPr>
          <w:rFonts w:ascii="Times New Roman" w:hAnsi="Times New Roman"/>
          <w:color w:val="000000" w:themeColor="text1"/>
          <w:sz w:val="24"/>
          <w:szCs w:val="24"/>
        </w:rPr>
        <w:t>.</w:t>
      </w:r>
      <w:r w:rsidR="00A467B6">
        <w:rPr>
          <w:rFonts w:ascii="Times New Roman" w:hAnsi="Times New Roman"/>
          <w:b/>
          <w:color w:val="000000" w:themeColor="text1"/>
          <w:sz w:val="24"/>
          <w:szCs w:val="24"/>
        </w:rPr>
        <w:t xml:space="preserve"> </w:t>
      </w:r>
      <w:r w:rsidR="00A467B6">
        <w:rPr>
          <w:rFonts w:ascii="Times New Roman" w:hAnsi="Times New Roman"/>
          <w:color w:val="000000" w:themeColor="text1"/>
          <w:sz w:val="24"/>
          <w:szCs w:val="24"/>
        </w:rPr>
        <w:t>Z zak</w:t>
      </w:r>
      <w:r>
        <w:rPr>
          <w:rFonts w:ascii="Times New Roman" w:hAnsi="Times New Roman"/>
          <w:color w:val="000000" w:themeColor="text1"/>
          <w:sz w:val="24"/>
          <w:szCs w:val="24"/>
        </w:rPr>
        <w:t>tualizowanych sprawozdań państw członkowskich wynika, że wydatki publiczne częściowo przeniesiono na późniejszy okres. W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wydały one mniej, niż pierwotnie przewidywano,</w:t>
      </w:r>
      <w:r w:rsidR="00A467B6">
        <w:rPr>
          <w:rFonts w:ascii="Times New Roman" w:hAnsi="Times New Roman"/>
          <w:color w:val="000000" w:themeColor="text1"/>
          <w:sz w:val="24"/>
          <w:szCs w:val="24"/>
        </w:rPr>
        <w:t xml:space="preserve"> a w lat</w:t>
      </w:r>
      <w:r>
        <w:rPr>
          <w:rFonts w:ascii="Times New Roman" w:hAnsi="Times New Roman"/>
          <w:color w:val="000000" w:themeColor="text1"/>
          <w:sz w:val="24"/>
          <w:szCs w:val="24"/>
        </w:rPr>
        <w:t>ach 2021</w:t>
      </w:r>
      <w:r w:rsidR="00A467B6">
        <w:rPr>
          <w:rFonts w:ascii="Times New Roman" w:hAnsi="Times New Roman"/>
          <w:color w:val="000000" w:themeColor="text1"/>
          <w:sz w:val="24"/>
          <w:szCs w:val="24"/>
        </w:rPr>
        <w:t xml:space="preserve"> i 2</w:t>
      </w:r>
      <w:r>
        <w:rPr>
          <w:rFonts w:ascii="Times New Roman" w:hAnsi="Times New Roman"/>
          <w:color w:val="000000" w:themeColor="text1"/>
          <w:sz w:val="24"/>
          <w:szCs w:val="24"/>
        </w:rPr>
        <w:t>022 planowały wydać więcej, niż pierwotnie zgłoszono</w:t>
      </w:r>
      <w:r w:rsidR="00A467B6">
        <w:rPr>
          <w:rFonts w:ascii="Times New Roman" w:hAnsi="Times New Roman"/>
          <w:color w:val="000000" w:themeColor="text1"/>
          <w:sz w:val="24"/>
          <w:szCs w:val="24"/>
        </w:rPr>
        <w:t xml:space="preserve"> w sie</w:t>
      </w:r>
      <w:r>
        <w:rPr>
          <w:rFonts w:ascii="Times New Roman" w:hAnsi="Times New Roman"/>
          <w:color w:val="000000" w:themeColor="text1"/>
          <w:sz w:val="24"/>
          <w:szCs w:val="24"/>
        </w:rPr>
        <w:t>rpniu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w:t>
      </w:r>
    </w:p>
    <w:p w14:paraId="37B2B262" w14:textId="7EA5B1CC" w:rsidR="009D29AB" w:rsidRPr="009D29AB" w:rsidRDefault="009D29AB" w:rsidP="009D29AB">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Niemal wszystkie państwa członkowskie rozdysponowały już albo planują rozdysponować całą kwotę przyznaną</w:t>
      </w:r>
      <w:r w:rsidR="00A467B6">
        <w:rPr>
          <w:rFonts w:ascii="Times New Roman" w:hAnsi="Times New Roman"/>
          <w:b/>
          <w:color w:val="000000" w:themeColor="text1"/>
          <w:sz w:val="24"/>
          <w:szCs w:val="24"/>
        </w:rPr>
        <w:t xml:space="preserve"> w ram</w:t>
      </w:r>
      <w:r>
        <w:rPr>
          <w:rFonts w:ascii="Times New Roman" w:hAnsi="Times New Roman"/>
          <w:b/>
          <w:color w:val="000000" w:themeColor="text1"/>
          <w:sz w:val="24"/>
          <w:szCs w:val="24"/>
        </w:rPr>
        <w:t xml:space="preserve">ach SURE. </w:t>
      </w:r>
      <w:r>
        <w:rPr>
          <w:rFonts w:ascii="Times New Roman" w:hAnsi="Times New Roman"/>
          <w:color w:val="000000" w:themeColor="text1"/>
          <w:sz w:val="24"/>
          <w:szCs w:val="24"/>
        </w:rPr>
        <w:t>Trzy państwa członkowskie zgłaszają obecnie niższe planowane wydatki publiczne, niż kwota przyznana</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 xml:space="preserve">ach SURE. Te </w:t>
      </w:r>
      <w:r>
        <w:rPr>
          <w:rFonts w:ascii="Times New Roman" w:hAnsi="Times New Roman"/>
          <w:color w:val="000000" w:themeColor="text1"/>
          <w:sz w:val="24"/>
        </w:rPr>
        <w:t>państwa członkowskie wskazały, że wprowadziły już albo</w:t>
      </w:r>
      <w:r w:rsidR="00A467B6">
        <w:rPr>
          <w:rFonts w:ascii="Times New Roman" w:hAnsi="Times New Roman"/>
          <w:color w:val="000000" w:themeColor="text1"/>
          <w:sz w:val="24"/>
        </w:rPr>
        <w:t xml:space="preserve"> w raz</w:t>
      </w:r>
      <w:r>
        <w:rPr>
          <w:rFonts w:ascii="Times New Roman" w:hAnsi="Times New Roman"/>
          <w:color w:val="000000" w:themeColor="text1"/>
          <w:sz w:val="24"/>
        </w:rPr>
        <w:t>ie potrzeby zamierzają wprowadzić środki</w:t>
      </w:r>
      <w:r w:rsidR="00A467B6">
        <w:rPr>
          <w:rFonts w:ascii="Times New Roman" w:hAnsi="Times New Roman"/>
          <w:color w:val="000000" w:themeColor="text1"/>
          <w:sz w:val="24"/>
        </w:rPr>
        <w:t xml:space="preserve"> w cel</w:t>
      </w:r>
      <w:r>
        <w:rPr>
          <w:rFonts w:ascii="Times New Roman" w:hAnsi="Times New Roman"/>
          <w:color w:val="000000" w:themeColor="text1"/>
          <w:sz w:val="24"/>
        </w:rPr>
        <w:t>u wykorzystania całej przyznanej pomocy finansowej,</w:t>
      </w:r>
      <w:r w:rsidR="00A467B6">
        <w:rPr>
          <w:rFonts w:ascii="Times New Roman" w:hAnsi="Times New Roman"/>
          <w:color w:val="000000" w:themeColor="text1"/>
          <w:sz w:val="24"/>
        </w:rPr>
        <w:t xml:space="preserve"> w tym w nie</w:t>
      </w:r>
      <w:r>
        <w:rPr>
          <w:rFonts w:ascii="Times New Roman" w:hAnsi="Times New Roman"/>
          <w:color w:val="000000" w:themeColor="text1"/>
          <w:sz w:val="24"/>
        </w:rPr>
        <w:t>których przypadkach wydłużając okres obowiązywania środków przewidzianych</w:t>
      </w:r>
      <w:r w:rsidR="00A467B6">
        <w:rPr>
          <w:rFonts w:ascii="Times New Roman" w:hAnsi="Times New Roman"/>
          <w:color w:val="000000" w:themeColor="text1"/>
          <w:sz w:val="24"/>
        </w:rPr>
        <w:t xml:space="preserve"> w odp</w:t>
      </w:r>
      <w:r>
        <w:rPr>
          <w:rFonts w:ascii="Times New Roman" w:hAnsi="Times New Roman"/>
          <w:color w:val="000000" w:themeColor="text1"/>
          <w:sz w:val="24"/>
        </w:rPr>
        <w:t xml:space="preserve">owiednich </w:t>
      </w:r>
      <w:r>
        <w:rPr>
          <w:rFonts w:ascii="Times New Roman" w:hAnsi="Times New Roman"/>
          <w:sz w:val="24"/>
          <w:szCs w:val="24"/>
        </w:rPr>
        <w:t>decyzjach wykonawczych Rady</w:t>
      </w:r>
      <w:r w:rsidR="00A467B6">
        <w:rPr>
          <w:rFonts w:ascii="Times New Roman" w:hAnsi="Times New Roman"/>
          <w:color w:val="000000" w:themeColor="text1"/>
          <w:sz w:val="24"/>
        </w:rPr>
        <w:t>.</w:t>
      </w:r>
      <w:r w:rsidR="00A467B6">
        <w:rPr>
          <w:rFonts w:ascii="Times New Roman" w:hAnsi="Times New Roman"/>
          <w:color w:val="000000" w:themeColor="text1"/>
          <w:sz w:val="24"/>
          <w:szCs w:val="24"/>
        </w:rPr>
        <w:t xml:space="preserve"> W</w:t>
      </w:r>
      <w:r w:rsidR="00A467B6">
        <w:rPr>
          <w:rFonts w:ascii="Times New Roman" w:hAnsi="Times New Roman"/>
          <w:color w:val="000000" w:themeColor="text1"/>
          <w:sz w:val="24"/>
        </w:rPr>
        <w:t> </w:t>
      </w:r>
      <w:r w:rsidR="00A467B6">
        <w:rPr>
          <w:rFonts w:ascii="Times New Roman" w:hAnsi="Times New Roman"/>
          <w:color w:val="000000" w:themeColor="text1"/>
          <w:sz w:val="24"/>
          <w:szCs w:val="24"/>
        </w:rPr>
        <w:t>tyc</w:t>
      </w:r>
      <w:r>
        <w:rPr>
          <w:rFonts w:ascii="Times New Roman" w:hAnsi="Times New Roman"/>
          <w:color w:val="000000" w:themeColor="text1"/>
          <w:sz w:val="24"/>
          <w:szCs w:val="24"/>
        </w:rPr>
        <w:t>h państwach członkowskich</w:t>
      </w:r>
      <w:r w:rsidR="00A467B6">
        <w:rPr>
          <w:rFonts w:ascii="Times New Roman" w:hAnsi="Times New Roman"/>
          <w:color w:val="000000" w:themeColor="text1"/>
          <w:sz w:val="24"/>
          <w:szCs w:val="24"/>
        </w:rPr>
        <w:t xml:space="preserve"> w szc</w:t>
      </w:r>
      <w:r>
        <w:rPr>
          <w:rFonts w:ascii="Times New Roman" w:hAnsi="Times New Roman"/>
          <w:color w:val="000000" w:themeColor="text1"/>
          <w:sz w:val="24"/>
          <w:szCs w:val="24"/>
        </w:rPr>
        <w:t>zególności należałoby monitorować absorpcję środków.</w:t>
      </w:r>
    </w:p>
    <w:p w14:paraId="5D723576" w14:textId="77777777" w:rsidR="009D29AB" w:rsidRPr="009D29AB" w:rsidRDefault="009D29AB" w:rsidP="009D29AB">
      <w:pPr>
        <w:spacing w:before="120" w:after="120" w:line="240" w:lineRule="auto"/>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 xml:space="preserve">Pierwsza ocena wpływu SURE </w:t>
      </w:r>
    </w:p>
    <w:p w14:paraId="0179E43C" w14:textId="15429E6D"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Wzrost stóp bezrobocia</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r>
        <w:rPr>
          <w:rFonts w:ascii="Times New Roman" w:hAnsi="Times New Roman"/>
          <w:b/>
          <w:sz w:val="24"/>
          <w:szCs w:val="24"/>
        </w:rPr>
        <w:t xml:space="preserve"> we wszystkich państwach członkowskich korzystających</w:t>
      </w:r>
      <w:r w:rsidR="00A467B6">
        <w:rPr>
          <w:rFonts w:ascii="Times New Roman" w:hAnsi="Times New Roman"/>
          <w:b/>
          <w:sz w:val="24"/>
          <w:szCs w:val="24"/>
        </w:rPr>
        <w:t xml:space="preserve"> z pom</w:t>
      </w:r>
      <w:r>
        <w:rPr>
          <w:rFonts w:ascii="Times New Roman" w:hAnsi="Times New Roman"/>
          <w:b/>
          <w:sz w:val="24"/>
          <w:szCs w:val="24"/>
        </w:rPr>
        <w:t>ocy był wyraźnie łagodniejszy niż podczas światowego kryzysu finansowego, chociaż spadek PKB</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r>
        <w:rPr>
          <w:rFonts w:ascii="Times New Roman" w:hAnsi="Times New Roman"/>
          <w:b/>
          <w:sz w:val="24"/>
          <w:szCs w:val="24"/>
        </w:rPr>
        <w:t xml:space="preserve"> okazał się poważniejszy</w:t>
      </w:r>
      <w:r w:rsidR="00A467B6">
        <w:rPr>
          <w:rFonts w:ascii="Times New Roman" w:hAnsi="Times New Roman"/>
          <w:b/>
          <w:sz w:val="24"/>
          <w:szCs w:val="24"/>
        </w:rPr>
        <w:t xml:space="preserve">. </w:t>
      </w:r>
      <w:r w:rsidR="00A467B6">
        <w:rPr>
          <w:rFonts w:ascii="Times New Roman" w:hAnsi="Times New Roman"/>
          <w:sz w:val="24"/>
          <w:szCs w:val="24"/>
        </w:rPr>
        <w:t>W</w:t>
      </w:r>
      <w:r w:rsidR="00A467B6">
        <w:rPr>
          <w:rFonts w:ascii="Times New Roman" w:hAnsi="Times New Roman"/>
          <w:b/>
          <w:sz w:val="24"/>
          <w:szCs w:val="24"/>
        </w:rPr>
        <w:t> </w:t>
      </w:r>
      <w:r w:rsidR="00A467B6">
        <w:rPr>
          <w:rFonts w:ascii="Times New Roman" w:hAnsi="Times New Roman"/>
          <w:sz w:val="24"/>
          <w:szCs w:val="24"/>
        </w:rPr>
        <w:t>pań</w:t>
      </w:r>
      <w:r>
        <w:rPr>
          <w:rFonts w:ascii="Times New Roman" w:hAnsi="Times New Roman"/>
          <w:sz w:val="24"/>
          <w:szCs w:val="24"/>
        </w:rPr>
        <w:t>stwach członkowskich korzystających</w:t>
      </w:r>
      <w:r w:rsidR="00A467B6">
        <w:rPr>
          <w:rFonts w:ascii="Times New Roman" w:hAnsi="Times New Roman"/>
          <w:sz w:val="24"/>
          <w:szCs w:val="24"/>
        </w:rPr>
        <w:t xml:space="preserve"> z pom</w:t>
      </w:r>
      <w:r>
        <w:rPr>
          <w:rFonts w:ascii="Times New Roman" w:hAnsi="Times New Roman"/>
          <w:sz w:val="24"/>
          <w:szCs w:val="24"/>
        </w:rPr>
        <w:t>ocy wrażliwość bezrobocia na zmiany</w:t>
      </w:r>
      <w:r w:rsidR="00A467B6">
        <w:rPr>
          <w:rFonts w:ascii="Times New Roman" w:hAnsi="Times New Roman"/>
          <w:sz w:val="24"/>
          <w:szCs w:val="24"/>
        </w:rPr>
        <w:t xml:space="preserve"> w pro</w:t>
      </w:r>
      <w:r>
        <w:rPr>
          <w:rFonts w:ascii="Times New Roman" w:hAnsi="Times New Roman"/>
          <w:sz w:val="24"/>
          <w:szCs w:val="24"/>
        </w:rPr>
        <w:t>dukcji</w:t>
      </w:r>
      <w:r w:rsidR="00A467B6">
        <w:rPr>
          <w:rFonts w:ascii="Times New Roman" w:hAnsi="Times New Roman"/>
          <w:sz w:val="24"/>
          <w:szCs w:val="24"/>
        </w:rPr>
        <w:t xml:space="preserve"> w 2</w:t>
      </w:r>
      <w:r>
        <w:rPr>
          <w:rFonts w:ascii="Times New Roman" w:hAnsi="Times New Roman"/>
          <w:sz w:val="24"/>
          <w:szCs w:val="24"/>
        </w:rPr>
        <w:t>0</w:t>
      </w:r>
      <w:r w:rsidRPr="00A467B6">
        <w:rPr>
          <w:rFonts w:ascii="Times New Roman" w:hAnsi="Times New Roman"/>
          <w:sz w:val="24"/>
          <w:szCs w:val="24"/>
        </w:rPr>
        <w:t>20</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była mniejsza, niż przewidywano na podstawie tendencji historycznych</w:t>
      </w:r>
      <w:r w:rsidRPr="00A467B6">
        <w:rPr>
          <w:rFonts w:ascii="Times New Roman" w:hAnsi="Times New Roman"/>
          <w:sz w:val="24"/>
          <w:szCs w:val="24"/>
        </w:rPr>
        <w:t>.</w:t>
      </w:r>
      <w:r w:rsidR="00A467B6" w:rsidRPr="00A467B6">
        <w:rPr>
          <w:rFonts w:ascii="Times New Roman" w:hAnsi="Times New Roman"/>
          <w:sz w:val="24"/>
          <w:szCs w:val="24"/>
        </w:rPr>
        <w:t xml:space="preserve"> </w:t>
      </w:r>
      <w:r w:rsidRPr="00A467B6">
        <w:rPr>
          <w:rFonts w:ascii="Times New Roman" w:hAnsi="Times New Roman"/>
          <w:sz w:val="24"/>
          <w:szCs w:val="24"/>
        </w:rPr>
        <w:t>Ł</w:t>
      </w:r>
      <w:r>
        <w:rPr>
          <w:rFonts w:ascii="Times New Roman" w:hAnsi="Times New Roman"/>
          <w:sz w:val="24"/>
          <w:szCs w:val="24"/>
        </w:rPr>
        <w:t>agodniejszy wzrost stóp bezrobocia</w:t>
      </w:r>
      <w:r w:rsidR="00A467B6">
        <w:rPr>
          <w:rFonts w:ascii="Times New Roman" w:hAnsi="Times New Roman"/>
          <w:sz w:val="24"/>
          <w:szCs w:val="24"/>
        </w:rPr>
        <w:t xml:space="preserve"> w 2</w:t>
      </w:r>
      <w:r>
        <w:rPr>
          <w:rFonts w:ascii="Times New Roman" w:hAnsi="Times New Roman"/>
          <w:sz w:val="24"/>
          <w:szCs w:val="24"/>
        </w:rPr>
        <w:t>0</w:t>
      </w:r>
      <w:r w:rsidRPr="00A467B6">
        <w:rPr>
          <w:rFonts w:ascii="Times New Roman" w:hAnsi="Times New Roman"/>
          <w:sz w:val="24"/>
          <w:szCs w:val="24"/>
        </w:rPr>
        <w:t>20</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stanowi pierwszą oznakę sukcesu krajowych</w:t>
      </w:r>
      <w:r w:rsidR="00A467B6">
        <w:rPr>
          <w:rFonts w:ascii="Times New Roman" w:hAnsi="Times New Roman"/>
          <w:sz w:val="24"/>
          <w:szCs w:val="24"/>
        </w:rPr>
        <w:t xml:space="preserve"> i uni</w:t>
      </w:r>
      <w:r>
        <w:rPr>
          <w:rFonts w:ascii="Times New Roman" w:hAnsi="Times New Roman"/>
          <w:sz w:val="24"/>
          <w:szCs w:val="24"/>
        </w:rPr>
        <w:t>jnych środków wsparcia realizacji polityki,</w:t>
      </w:r>
      <w:r w:rsidR="00A467B6">
        <w:rPr>
          <w:rFonts w:ascii="Times New Roman" w:hAnsi="Times New Roman"/>
          <w:sz w:val="24"/>
          <w:szCs w:val="24"/>
        </w:rPr>
        <w:t xml:space="preserve"> w tym</w:t>
      </w:r>
      <w:r>
        <w:rPr>
          <w:rFonts w:ascii="Times New Roman" w:hAnsi="Times New Roman"/>
          <w:sz w:val="24"/>
          <w:szCs w:val="24"/>
        </w:rPr>
        <w:t xml:space="preserve"> SURE.</w:t>
      </w:r>
    </w:p>
    <w:p w14:paraId="3C3588A5" w14:textId="6F02D45F" w:rsidR="009D29AB" w:rsidRPr="009D29AB" w:rsidRDefault="009D29AB" w:rsidP="009D29AB">
      <w:pPr>
        <w:jc w:val="both"/>
        <w:rPr>
          <w:rFonts w:ascii="Times New Roman" w:hAnsi="Times New Roman" w:cs="Times New Roman"/>
          <w:sz w:val="24"/>
          <w:szCs w:val="24"/>
        </w:rPr>
      </w:pPr>
      <w:r>
        <w:rPr>
          <w:rFonts w:ascii="Times New Roman" w:hAnsi="Times New Roman"/>
          <w:b/>
          <w:color w:val="000000" w:themeColor="text1"/>
          <w:sz w:val="24"/>
          <w:szCs w:val="24"/>
        </w:rPr>
        <w:t xml:space="preserve">Wpływ SURE wykracza poza utrzymanie miejsc pracy. </w:t>
      </w:r>
      <w:r>
        <w:rPr>
          <w:rFonts w:ascii="Times New Roman" w:hAnsi="Times New Roman"/>
          <w:sz w:val="24"/>
        </w:rPr>
        <w:t>SURE prawdopodobnie przyczynił się do zwiększenia ogólnego zaufania do zdolności UE</w:t>
      </w:r>
      <w:r w:rsidR="00A467B6">
        <w:rPr>
          <w:rFonts w:ascii="Times New Roman" w:hAnsi="Times New Roman"/>
          <w:sz w:val="24"/>
        </w:rPr>
        <w:t xml:space="preserve"> w zak</w:t>
      </w:r>
      <w:r>
        <w:rPr>
          <w:rFonts w:ascii="Times New Roman" w:hAnsi="Times New Roman"/>
          <w:sz w:val="24"/>
        </w:rPr>
        <w:t xml:space="preserve">resie skutecznego reagowania na bezprecedensowy kryzys. </w:t>
      </w:r>
      <w:r>
        <w:rPr>
          <w:rFonts w:ascii="Times New Roman" w:hAnsi="Times New Roman"/>
          <w:sz w:val="24"/>
          <w:szCs w:val="24"/>
        </w:rPr>
        <w:t>Za pośrednictwem SURE UE wspiera korzystanie</w:t>
      </w:r>
      <w:r w:rsidR="00A467B6">
        <w:rPr>
          <w:rFonts w:ascii="Times New Roman" w:hAnsi="Times New Roman"/>
          <w:sz w:val="24"/>
          <w:szCs w:val="24"/>
        </w:rPr>
        <w:t xml:space="preserve"> z mec</w:t>
      </w:r>
      <w:r>
        <w:rPr>
          <w:rFonts w:ascii="Times New Roman" w:hAnsi="Times New Roman"/>
          <w:sz w:val="24"/>
          <w:szCs w:val="24"/>
        </w:rPr>
        <w:t>hanizmów zmniejszonego wymiaru czasu pracy</w:t>
      </w:r>
      <w:r w:rsidR="00A467B6">
        <w:rPr>
          <w:rFonts w:ascii="Times New Roman" w:hAnsi="Times New Roman"/>
          <w:sz w:val="24"/>
          <w:szCs w:val="24"/>
        </w:rPr>
        <w:t xml:space="preserve"> w pań</w:t>
      </w:r>
      <w:r>
        <w:rPr>
          <w:rFonts w:ascii="Times New Roman" w:hAnsi="Times New Roman"/>
          <w:sz w:val="24"/>
          <w:szCs w:val="24"/>
        </w:rPr>
        <w:t>stwach członkowskich</w:t>
      </w:r>
      <w:r w:rsidR="00A467B6">
        <w:rPr>
          <w:rFonts w:ascii="Times New Roman" w:hAnsi="Times New Roman"/>
          <w:sz w:val="24"/>
          <w:szCs w:val="24"/>
        </w:rPr>
        <w:t xml:space="preserve"> i zac</w:t>
      </w:r>
      <w:r>
        <w:rPr>
          <w:rFonts w:ascii="Times New Roman" w:hAnsi="Times New Roman"/>
          <w:sz w:val="24"/>
          <w:szCs w:val="24"/>
        </w:rPr>
        <w:t>hęca do niego. Większość państw członkowskich korzystających</w:t>
      </w:r>
      <w:r w:rsidR="00A467B6">
        <w:rPr>
          <w:rFonts w:ascii="Times New Roman" w:hAnsi="Times New Roman"/>
          <w:sz w:val="24"/>
          <w:szCs w:val="24"/>
        </w:rPr>
        <w:t xml:space="preserve"> z pom</w:t>
      </w:r>
      <w:r>
        <w:rPr>
          <w:rFonts w:ascii="Times New Roman" w:hAnsi="Times New Roman"/>
          <w:sz w:val="24"/>
          <w:szCs w:val="24"/>
        </w:rPr>
        <w:t>ocy wskazała, że SURE miał wpływ na ich decyzję</w:t>
      </w:r>
      <w:r w:rsidR="00A467B6">
        <w:rPr>
          <w:rFonts w:ascii="Times New Roman" w:hAnsi="Times New Roman"/>
          <w:sz w:val="24"/>
          <w:szCs w:val="24"/>
        </w:rPr>
        <w:t xml:space="preserve"> o prz</w:t>
      </w:r>
      <w:r>
        <w:rPr>
          <w:rFonts w:ascii="Times New Roman" w:hAnsi="Times New Roman"/>
          <w:sz w:val="24"/>
          <w:szCs w:val="24"/>
        </w:rPr>
        <w:t>yjęciu nowego mechanizmu zmniejszonego wymiaru czasu pracy lub</w:t>
      </w:r>
      <w:r w:rsidR="00A467B6">
        <w:rPr>
          <w:rFonts w:ascii="Times New Roman" w:hAnsi="Times New Roman"/>
          <w:sz w:val="24"/>
          <w:szCs w:val="24"/>
        </w:rPr>
        <w:t xml:space="preserve"> o zmi</w:t>
      </w:r>
      <w:r>
        <w:rPr>
          <w:rFonts w:ascii="Times New Roman" w:hAnsi="Times New Roman"/>
          <w:sz w:val="24"/>
          <w:szCs w:val="24"/>
        </w:rPr>
        <w:t>anie istniejącego mechanizmu.</w:t>
      </w:r>
    </w:p>
    <w:p w14:paraId="6CC7FA48" w14:textId="37A6034B" w:rsidR="009D29AB" w:rsidRPr="00A467B6" w:rsidRDefault="009D29AB" w:rsidP="009D29AB">
      <w:pPr>
        <w:jc w:val="both"/>
        <w:rPr>
          <w:rFonts w:ascii="Times New Roman" w:hAnsi="Times New Roman" w:cs="Times New Roman"/>
          <w:sz w:val="24"/>
          <w:szCs w:val="24"/>
        </w:rPr>
      </w:pPr>
      <w:r>
        <w:rPr>
          <w:rFonts w:ascii="Times New Roman" w:hAnsi="Times New Roman"/>
          <w:b/>
          <w:sz w:val="24"/>
          <w:szCs w:val="24"/>
        </w:rPr>
        <w:t>Jako element wczesnej reakcji politycznej UE SURE zwiększył gotowość państw członkowskich do zaciągania większych pożyczek</w:t>
      </w:r>
      <w:r w:rsidR="00A467B6">
        <w:rPr>
          <w:rFonts w:ascii="Times New Roman" w:hAnsi="Times New Roman"/>
          <w:b/>
          <w:sz w:val="24"/>
          <w:szCs w:val="24"/>
        </w:rPr>
        <w:t xml:space="preserve"> i dok</w:t>
      </w:r>
      <w:r>
        <w:rPr>
          <w:rFonts w:ascii="Times New Roman" w:hAnsi="Times New Roman"/>
          <w:b/>
          <w:sz w:val="24"/>
          <w:szCs w:val="24"/>
        </w:rPr>
        <w:t>onywania większych wydatków, niż miałoby to miejsce</w:t>
      </w:r>
      <w:r w:rsidR="00A467B6">
        <w:rPr>
          <w:rFonts w:ascii="Times New Roman" w:hAnsi="Times New Roman"/>
          <w:b/>
          <w:sz w:val="24"/>
          <w:szCs w:val="24"/>
        </w:rPr>
        <w:t xml:space="preserve"> w prz</w:t>
      </w:r>
      <w:r>
        <w:rPr>
          <w:rFonts w:ascii="Times New Roman" w:hAnsi="Times New Roman"/>
          <w:b/>
          <w:sz w:val="24"/>
          <w:szCs w:val="24"/>
        </w:rPr>
        <w:t>eciwnym przypadku.</w:t>
      </w:r>
      <w:r>
        <w:rPr>
          <w:rFonts w:ascii="Times New Roman" w:hAnsi="Times New Roman"/>
          <w:sz w:val="24"/>
          <w:szCs w:val="24"/>
        </w:rPr>
        <w:t xml:space="preserve"> Większość państw członkowskich korzystających</w:t>
      </w:r>
      <w:r w:rsidR="00A467B6">
        <w:rPr>
          <w:rFonts w:ascii="Times New Roman" w:hAnsi="Times New Roman"/>
          <w:sz w:val="24"/>
          <w:szCs w:val="24"/>
        </w:rPr>
        <w:t xml:space="preserve"> z pom</w:t>
      </w:r>
      <w:r>
        <w:rPr>
          <w:rFonts w:ascii="Times New Roman" w:hAnsi="Times New Roman"/>
          <w:sz w:val="24"/>
          <w:szCs w:val="24"/>
        </w:rPr>
        <w:t>ocy wskazała</w:t>
      </w:r>
      <w:r w:rsidR="00A467B6">
        <w:rPr>
          <w:rFonts w:ascii="Times New Roman" w:hAnsi="Times New Roman"/>
          <w:sz w:val="24"/>
          <w:szCs w:val="24"/>
        </w:rPr>
        <w:t xml:space="preserve"> w ank</w:t>
      </w:r>
      <w:r>
        <w:rPr>
          <w:rFonts w:ascii="Times New Roman" w:hAnsi="Times New Roman"/>
          <w:sz w:val="24"/>
          <w:szCs w:val="24"/>
        </w:rPr>
        <w:t>iecie, że wsparcie</w:t>
      </w:r>
      <w:r w:rsidR="00A467B6">
        <w:rPr>
          <w:rFonts w:ascii="Times New Roman" w:hAnsi="Times New Roman"/>
          <w:sz w:val="24"/>
          <w:szCs w:val="24"/>
        </w:rPr>
        <w:t xml:space="preserve"> w ram</w:t>
      </w:r>
      <w:r>
        <w:rPr>
          <w:rFonts w:ascii="Times New Roman" w:hAnsi="Times New Roman"/>
          <w:sz w:val="24"/>
          <w:szCs w:val="24"/>
        </w:rPr>
        <w:t>ach SURE odegrało rolę</w:t>
      </w:r>
      <w:r w:rsidR="00A467B6">
        <w:rPr>
          <w:rFonts w:ascii="Times New Roman" w:hAnsi="Times New Roman"/>
          <w:sz w:val="24"/>
          <w:szCs w:val="24"/>
        </w:rPr>
        <w:t xml:space="preserve"> w tym</w:t>
      </w:r>
      <w:r>
        <w:rPr>
          <w:rFonts w:ascii="Times New Roman" w:hAnsi="Times New Roman"/>
          <w:sz w:val="24"/>
          <w:szCs w:val="24"/>
        </w:rPr>
        <w:t>czasowym zwiększeniu zakresu</w:t>
      </w:r>
      <w:r w:rsidR="00A467B6">
        <w:rPr>
          <w:rFonts w:ascii="Times New Roman" w:hAnsi="Times New Roman"/>
          <w:sz w:val="24"/>
          <w:szCs w:val="24"/>
        </w:rPr>
        <w:t xml:space="preserve"> i </w:t>
      </w:r>
      <w:r w:rsidR="00A467B6">
        <w:rPr>
          <w:rFonts w:ascii="Times New Roman" w:hAnsi="Times New Roman"/>
          <w:sz w:val="24"/>
        </w:rPr>
        <w:t>pul</w:t>
      </w:r>
      <w:r>
        <w:rPr>
          <w:rFonts w:ascii="Times New Roman" w:hAnsi="Times New Roman"/>
          <w:sz w:val="24"/>
        </w:rPr>
        <w:t>i środków dostępnych</w:t>
      </w:r>
      <w:r w:rsidR="00A467B6">
        <w:rPr>
          <w:rFonts w:ascii="Times New Roman" w:hAnsi="Times New Roman"/>
          <w:sz w:val="24"/>
        </w:rPr>
        <w:t xml:space="preserve"> w ram</w:t>
      </w:r>
      <w:r>
        <w:rPr>
          <w:rFonts w:ascii="Times New Roman" w:hAnsi="Times New Roman"/>
          <w:sz w:val="24"/>
        </w:rPr>
        <w:t xml:space="preserve">ach </w:t>
      </w:r>
      <w:r>
        <w:rPr>
          <w:rFonts w:ascii="Times New Roman" w:hAnsi="Times New Roman"/>
          <w:sz w:val="24"/>
          <w:szCs w:val="24"/>
        </w:rPr>
        <w:t>mechanizmów zmniejszonego wymiaru czasu pracy oraz</w:t>
      </w:r>
      <w:r w:rsidR="00A467B6">
        <w:rPr>
          <w:rFonts w:ascii="Times New Roman" w:hAnsi="Times New Roman"/>
          <w:sz w:val="24"/>
          <w:szCs w:val="24"/>
        </w:rPr>
        <w:t xml:space="preserve"> w ogó</w:t>
      </w:r>
      <w:r>
        <w:rPr>
          <w:rFonts w:ascii="Times New Roman" w:hAnsi="Times New Roman"/>
          <w:sz w:val="24"/>
          <w:szCs w:val="24"/>
        </w:rPr>
        <w:t>lnym finansowaniu polityk</w:t>
      </w:r>
      <w:r>
        <w:rPr>
          <w:rFonts w:ascii="Times New Roman" w:hAnsi="Times New Roman"/>
          <w:sz w:val="24"/>
        </w:rPr>
        <w:t xml:space="preserve"> </w:t>
      </w:r>
      <w:r>
        <w:rPr>
          <w:rFonts w:ascii="Times New Roman" w:hAnsi="Times New Roman"/>
          <w:sz w:val="24"/>
          <w:szCs w:val="24"/>
        </w:rPr>
        <w:t>mających na celu walkę</w:t>
      </w:r>
      <w:r w:rsidR="00A467B6">
        <w:rPr>
          <w:rFonts w:ascii="Times New Roman" w:hAnsi="Times New Roman"/>
          <w:sz w:val="24"/>
          <w:szCs w:val="24"/>
        </w:rPr>
        <w:t xml:space="preserve"> z kry</w:t>
      </w:r>
      <w:r>
        <w:rPr>
          <w:rFonts w:ascii="Times New Roman" w:hAnsi="Times New Roman"/>
          <w:sz w:val="24"/>
          <w:szCs w:val="24"/>
        </w:rPr>
        <w:t>zysem związanym z COVID-19</w:t>
      </w:r>
      <w:r w:rsidRPr="00A467B6">
        <w:rPr>
          <w:rFonts w:ascii="Times New Roman" w:hAnsi="Times New Roman"/>
          <w:sz w:val="24"/>
          <w:szCs w:val="24"/>
        </w:rPr>
        <w:t>.</w:t>
      </w:r>
      <w:r w:rsidR="00A467B6" w:rsidRPr="00A467B6">
        <w:rPr>
          <w:rFonts w:ascii="Times New Roman" w:hAnsi="Times New Roman"/>
          <w:sz w:val="24"/>
          <w:szCs w:val="24"/>
        </w:rPr>
        <w:t xml:space="preserve"> </w:t>
      </w:r>
    </w:p>
    <w:p w14:paraId="4ED98761" w14:textId="481C77D7"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Pomoc finansowa za pośrednictwem SURE przyniosła również oszczędności związane</w:t>
      </w:r>
      <w:r w:rsidR="00A467B6">
        <w:rPr>
          <w:rFonts w:ascii="Times New Roman" w:hAnsi="Times New Roman"/>
          <w:b/>
          <w:sz w:val="24"/>
          <w:szCs w:val="24"/>
        </w:rPr>
        <w:t xml:space="preserve"> z pła</w:t>
      </w:r>
      <w:r>
        <w:rPr>
          <w:rFonts w:ascii="Times New Roman" w:hAnsi="Times New Roman"/>
          <w:b/>
          <w:sz w:val="24"/>
          <w:szCs w:val="24"/>
        </w:rPr>
        <w:t>tnościami odsetek</w:t>
      </w:r>
      <w:r w:rsidR="00A467B6">
        <w:rPr>
          <w:rFonts w:ascii="Times New Roman" w:hAnsi="Times New Roman"/>
          <w:b/>
          <w:sz w:val="24"/>
          <w:szCs w:val="24"/>
        </w:rPr>
        <w:t xml:space="preserve"> w sze</w:t>
      </w:r>
      <w:r>
        <w:rPr>
          <w:rFonts w:ascii="Times New Roman" w:hAnsi="Times New Roman"/>
          <w:b/>
          <w:sz w:val="24"/>
          <w:szCs w:val="24"/>
        </w:rPr>
        <w:t xml:space="preserve">regu </w:t>
      </w:r>
      <w:r>
        <w:rPr>
          <w:rFonts w:ascii="Times New Roman" w:hAnsi="Times New Roman"/>
          <w:b/>
          <w:color w:val="000000" w:themeColor="text1"/>
          <w:sz w:val="24"/>
        </w:rPr>
        <w:t>państw</w:t>
      </w:r>
      <w:r>
        <w:rPr>
          <w:rFonts w:ascii="Times New Roman" w:hAnsi="Times New Roman"/>
          <w:b/>
          <w:sz w:val="24"/>
          <w:szCs w:val="24"/>
        </w:rPr>
        <w:t xml:space="preserve"> członkowskich. </w:t>
      </w:r>
      <w:r>
        <w:rPr>
          <w:rFonts w:ascii="Times New Roman" w:hAnsi="Times New Roman"/>
          <w:color w:val="000000" w:themeColor="text1"/>
          <w:sz w:val="24"/>
          <w:szCs w:val="24"/>
        </w:rPr>
        <w:t>Warunki finansowania pożyczek</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były zasadniczo korzystniejsze dla państw członkowskich niż emisja własnych obligacji skarbowych</w:t>
      </w:r>
      <w:r w:rsidR="00A467B6">
        <w:rPr>
          <w:rFonts w:ascii="Times New Roman" w:hAnsi="Times New Roman"/>
          <w:color w:val="000000" w:themeColor="text1"/>
          <w:sz w:val="24"/>
          <w:szCs w:val="24"/>
        </w:rPr>
        <w:t>.</w:t>
      </w:r>
      <w:r w:rsidR="00A467B6">
        <w:rPr>
          <w:rFonts w:ascii="Times New Roman" w:hAnsi="Times New Roman"/>
          <w:b/>
          <w:bCs/>
          <w:color w:val="000000" w:themeColor="text1"/>
          <w:sz w:val="24"/>
          <w:szCs w:val="24"/>
        </w:rPr>
        <w:t xml:space="preserve"> </w:t>
      </w:r>
      <w:r w:rsidR="00A467B6">
        <w:rPr>
          <w:rFonts w:ascii="Times New Roman" w:hAnsi="Times New Roman"/>
          <w:color w:val="000000" w:themeColor="text1"/>
          <w:sz w:val="24"/>
          <w:szCs w:val="24"/>
        </w:rPr>
        <w:t>W rez</w:t>
      </w:r>
      <w:r>
        <w:rPr>
          <w:rFonts w:ascii="Times New Roman" w:hAnsi="Times New Roman"/>
          <w:color w:val="000000" w:themeColor="text1"/>
          <w:sz w:val="24"/>
          <w:szCs w:val="24"/>
        </w:rPr>
        <w:t>ultacie szacuje się, że państwa członkowskie zaoszczędziły łącznie około 5,8 mld EUR podczas pierwszych czterech emisji</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tj. do chwili wypłaty</w:t>
      </w:r>
      <w:r w:rsidR="00A467B6">
        <w:rPr>
          <w:rFonts w:ascii="Times New Roman" w:hAnsi="Times New Roman"/>
          <w:color w:val="000000" w:themeColor="text1"/>
          <w:sz w:val="24"/>
          <w:szCs w:val="24"/>
        </w:rPr>
        <w:t xml:space="preserve"> w dni</w:t>
      </w:r>
      <w:r>
        <w:rPr>
          <w:rFonts w:ascii="Times New Roman" w:hAnsi="Times New Roman"/>
          <w:color w:val="000000" w:themeColor="text1"/>
          <w:sz w:val="24"/>
          <w:szCs w:val="24"/>
        </w:rPr>
        <w:t>u 2 lutego 20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Ponieważ oczekuje się, że warunki finansowania</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pozostaną korzystne, dalsze wypłaty prawdopodobnie przyniosą dodatkowe oszczędności.</w:t>
      </w:r>
    </w:p>
    <w:p w14:paraId="0A2B6B62" w14:textId="77777777" w:rsidR="009D29AB" w:rsidRPr="009D29AB" w:rsidRDefault="009D29AB" w:rsidP="009D29AB">
      <w:pPr>
        <w:jc w:val="both"/>
        <w:rPr>
          <w:rFonts w:ascii="Times New Roman" w:hAnsi="Times New Roman" w:cs="Times New Roman"/>
          <w:i/>
          <w:color w:val="000000" w:themeColor="text1"/>
          <w:sz w:val="24"/>
          <w:szCs w:val="24"/>
        </w:rPr>
      </w:pPr>
      <w:r>
        <w:rPr>
          <w:rFonts w:ascii="Times New Roman" w:hAnsi="Times New Roman"/>
          <w:i/>
          <w:color w:val="000000" w:themeColor="text1"/>
          <w:sz w:val="24"/>
          <w:szCs w:val="24"/>
        </w:rPr>
        <w:t>Dalsze występowanie zdarzeń nadzwyczajnych uzasadniających stosowanie SURE</w:t>
      </w:r>
    </w:p>
    <w:p w14:paraId="3EC34B98" w14:textId="124EFB8B" w:rsidR="009D29AB" w:rsidRPr="009D29AB" w:rsidRDefault="009D29AB" w:rsidP="009D29AB">
      <w:pPr>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W sprawozdaniu omówiono również dalsze występowanie zdarzeń nadzwyczajnych uzasadniających stosowanie SURE, mianowicie ponowny wzrost liczby zakażeń od jesieni. </w:t>
      </w:r>
      <w:r>
        <w:rPr>
          <w:rFonts w:ascii="Times New Roman" w:hAnsi="Times New Roman"/>
          <w:color w:val="000000" w:themeColor="text1"/>
          <w:sz w:val="24"/>
          <w:szCs w:val="24"/>
        </w:rPr>
        <w:t>Ten aspekt, wraz</w:t>
      </w:r>
      <w:r w:rsidR="00A467B6">
        <w:rPr>
          <w:rFonts w:ascii="Times New Roman" w:hAnsi="Times New Roman"/>
          <w:color w:val="000000" w:themeColor="text1"/>
          <w:sz w:val="24"/>
          <w:szCs w:val="24"/>
        </w:rPr>
        <w:t xml:space="preserve"> z poj</w:t>
      </w:r>
      <w:r>
        <w:rPr>
          <w:rFonts w:ascii="Times New Roman" w:hAnsi="Times New Roman"/>
          <w:color w:val="000000" w:themeColor="text1"/>
          <w:sz w:val="24"/>
          <w:szCs w:val="24"/>
        </w:rPr>
        <w:t>awieniem się nowych, bardziej zakaźnych wariantów koronawirusa, zmusił wiele państw członkowskich do ponownego wprowadzenia lub zaostrzenia środków powstrzymujących rozprzestrzenianie się koronawirusa.</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Ograniczenia te spowodowały zahamowanie ożywienia gospodarczego, po tym jak</w:t>
      </w:r>
      <w:r w:rsidR="00A467B6">
        <w:rPr>
          <w:rFonts w:ascii="Times New Roman" w:hAnsi="Times New Roman"/>
          <w:color w:val="000000" w:themeColor="text1"/>
          <w:sz w:val="24"/>
          <w:szCs w:val="24"/>
        </w:rPr>
        <w:t xml:space="preserve"> w trz</w:t>
      </w:r>
      <w:r>
        <w:rPr>
          <w:rFonts w:ascii="Times New Roman" w:hAnsi="Times New Roman"/>
          <w:color w:val="000000" w:themeColor="text1"/>
          <w:sz w:val="24"/>
          <w:szCs w:val="24"/>
        </w:rPr>
        <w:t>ecim kwartale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nastąpiło odbicie działalności gospodarczej. Silne ożywienie</w:t>
      </w:r>
      <w:r w:rsidR="00A467B6">
        <w:rPr>
          <w:rFonts w:ascii="Times New Roman" w:hAnsi="Times New Roman"/>
          <w:color w:val="000000" w:themeColor="text1"/>
          <w:sz w:val="24"/>
          <w:szCs w:val="24"/>
        </w:rPr>
        <w:t xml:space="preserve"> w prz</w:t>
      </w:r>
      <w:r>
        <w:rPr>
          <w:rFonts w:ascii="Times New Roman" w:hAnsi="Times New Roman"/>
          <w:color w:val="000000" w:themeColor="text1"/>
          <w:sz w:val="24"/>
          <w:szCs w:val="24"/>
        </w:rPr>
        <w:t>emyśle kontrastuje</w:t>
      </w:r>
      <w:r w:rsidR="00A467B6">
        <w:rPr>
          <w:rFonts w:ascii="Times New Roman" w:hAnsi="Times New Roman"/>
          <w:color w:val="000000" w:themeColor="text1"/>
          <w:sz w:val="24"/>
          <w:szCs w:val="24"/>
        </w:rPr>
        <w:t xml:space="preserve"> z nie</w:t>
      </w:r>
      <w:r>
        <w:rPr>
          <w:rFonts w:ascii="Times New Roman" w:hAnsi="Times New Roman"/>
          <w:color w:val="000000" w:themeColor="text1"/>
          <w:sz w:val="24"/>
          <w:szCs w:val="24"/>
        </w:rPr>
        <w:t>wielką aktywnością sektora usług – ostatnie ograniczenia ponownie wywarły silny wpływ na sektory zatrudniające wielu pracowników, takie jak sektory hotelarsko-gastronomiczny, rozrywkowy</w:t>
      </w:r>
      <w:r w:rsidR="00A467B6">
        <w:rPr>
          <w:rFonts w:ascii="Times New Roman" w:hAnsi="Times New Roman"/>
          <w:color w:val="000000" w:themeColor="text1"/>
          <w:sz w:val="24"/>
          <w:szCs w:val="24"/>
        </w:rPr>
        <w:t xml:space="preserve"> i tur</w:t>
      </w:r>
      <w:r>
        <w:rPr>
          <w:rFonts w:ascii="Times New Roman" w:hAnsi="Times New Roman"/>
          <w:color w:val="000000" w:themeColor="text1"/>
          <w:sz w:val="24"/>
          <w:szCs w:val="24"/>
        </w:rPr>
        <w:t>ystyczny. Zgodnie</w:t>
      </w:r>
      <w:r w:rsidR="00A467B6">
        <w:rPr>
          <w:rFonts w:ascii="Times New Roman" w:hAnsi="Times New Roman"/>
          <w:color w:val="000000" w:themeColor="text1"/>
          <w:sz w:val="24"/>
          <w:szCs w:val="24"/>
        </w:rPr>
        <w:t xml:space="preserve"> z pro</w:t>
      </w:r>
      <w:r>
        <w:rPr>
          <w:rFonts w:ascii="Times New Roman" w:hAnsi="Times New Roman"/>
          <w:color w:val="000000" w:themeColor="text1"/>
          <w:sz w:val="24"/>
          <w:szCs w:val="24"/>
        </w:rPr>
        <w:t>gnozą Komisji</w:t>
      </w:r>
      <w:r w:rsidR="00A467B6">
        <w:rPr>
          <w:rFonts w:ascii="Times New Roman" w:hAnsi="Times New Roman"/>
          <w:color w:val="000000" w:themeColor="text1"/>
          <w:sz w:val="24"/>
          <w:szCs w:val="24"/>
        </w:rPr>
        <w:t xml:space="preserve"> z zim</w:t>
      </w:r>
      <w:r>
        <w:rPr>
          <w:rFonts w:ascii="Times New Roman" w:hAnsi="Times New Roman"/>
          <w:color w:val="000000" w:themeColor="text1"/>
          <w:sz w:val="24"/>
          <w:szCs w:val="24"/>
        </w:rPr>
        <w:t>y 20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mimo że oczekuje się umiarkowanego wzrostu aktywności gospodarczej</w:t>
      </w:r>
      <w:r w:rsidR="00A467B6">
        <w:rPr>
          <w:rFonts w:ascii="Times New Roman" w:hAnsi="Times New Roman"/>
          <w:color w:val="000000" w:themeColor="text1"/>
          <w:sz w:val="24"/>
          <w:szCs w:val="24"/>
        </w:rPr>
        <w:t xml:space="preserve"> w dru</w:t>
      </w:r>
      <w:r>
        <w:rPr>
          <w:rFonts w:ascii="Times New Roman" w:hAnsi="Times New Roman"/>
          <w:color w:val="000000" w:themeColor="text1"/>
          <w:sz w:val="24"/>
          <w:szCs w:val="24"/>
        </w:rPr>
        <w:t>gim kwartale</w:t>
      </w:r>
      <w:r w:rsidR="00A467B6">
        <w:rPr>
          <w:rFonts w:ascii="Times New Roman" w:hAnsi="Times New Roman"/>
          <w:color w:val="000000" w:themeColor="text1"/>
          <w:sz w:val="24"/>
          <w:szCs w:val="24"/>
        </w:rPr>
        <w:t xml:space="preserve"> i bar</w:t>
      </w:r>
      <w:r>
        <w:rPr>
          <w:rFonts w:ascii="Times New Roman" w:hAnsi="Times New Roman"/>
          <w:color w:val="000000" w:themeColor="text1"/>
          <w:sz w:val="24"/>
          <w:szCs w:val="24"/>
        </w:rPr>
        <w:t>dziej dynamicznego</w:t>
      </w:r>
      <w:r w:rsidR="00A467B6">
        <w:rPr>
          <w:rFonts w:ascii="Times New Roman" w:hAnsi="Times New Roman"/>
          <w:color w:val="000000" w:themeColor="text1"/>
          <w:sz w:val="24"/>
          <w:szCs w:val="24"/>
        </w:rPr>
        <w:t xml:space="preserve"> w trz</w:t>
      </w:r>
      <w:r>
        <w:rPr>
          <w:rFonts w:ascii="Times New Roman" w:hAnsi="Times New Roman"/>
          <w:color w:val="000000" w:themeColor="text1"/>
          <w:sz w:val="24"/>
          <w:szCs w:val="24"/>
        </w:rPr>
        <w:t>ecim, perspektywy gospodarcze nadal wiążą się ze znaczną niepewnością</w:t>
      </w:r>
      <w:r w:rsidR="00A467B6">
        <w:rPr>
          <w:rFonts w:ascii="Times New Roman" w:hAnsi="Times New Roman"/>
          <w:color w:val="000000" w:themeColor="text1"/>
          <w:sz w:val="24"/>
          <w:szCs w:val="24"/>
        </w:rPr>
        <w:t xml:space="preserve"> i wys</w:t>
      </w:r>
      <w:r>
        <w:rPr>
          <w:rFonts w:ascii="Times New Roman" w:hAnsi="Times New Roman"/>
          <w:color w:val="000000" w:themeColor="text1"/>
          <w:sz w:val="24"/>
          <w:szCs w:val="24"/>
        </w:rPr>
        <w:t>okim ryzykiem.</w:t>
      </w:r>
    </w:p>
    <w:p w14:paraId="6537DA83" w14:textId="77777777" w:rsidR="009D29AB" w:rsidRPr="009D29AB" w:rsidRDefault="009D29AB" w:rsidP="009D29AB">
      <w:pPr>
        <w:rPr>
          <w:rFonts w:ascii="Times New Roman" w:eastAsia="Times New Roman" w:hAnsi="Times New Roman" w:cs="Times New Roman"/>
          <w:b/>
          <w:smallCaps/>
          <w:sz w:val="24"/>
          <w:szCs w:val="20"/>
        </w:rPr>
      </w:pPr>
      <w:r>
        <w:br w:type="page"/>
      </w:r>
    </w:p>
    <w:p w14:paraId="2AC6BAB1" w14:textId="77777777" w:rsidR="009D29AB" w:rsidRPr="009D29AB" w:rsidRDefault="009D29AB" w:rsidP="009D29AB">
      <w:pPr>
        <w:keepNext/>
        <w:spacing w:before="240" w:after="240" w:line="240" w:lineRule="auto"/>
        <w:jc w:val="both"/>
        <w:outlineLvl w:val="0"/>
        <w:rPr>
          <w:rFonts w:ascii="Times New Roman" w:eastAsia="Times New Roman" w:hAnsi="Times New Roman" w:cs="Times New Roman"/>
          <w:b/>
          <w:smallCaps/>
          <w:sz w:val="24"/>
          <w:szCs w:val="20"/>
        </w:rPr>
      </w:pPr>
      <w:r>
        <w:rPr>
          <w:rFonts w:ascii="Times New Roman" w:hAnsi="Times New Roman"/>
          <w:b/>
          <w:smallCaps/>
          <w:sz w:val="24"/>
          <w:szCs w:val="20"/>
        </w:rPr>
        <w:t>Wprowadzenie</w:t>
      </w:r>
    </w:p>
    <w:p w14:paraId="24F4EFBE" w14:textId="749C7A8E"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Unia Europejska (UE) stworzyła europejski instrument tymczasowego wsparcia</w:t>
      </w:r>
      <w:r w:rsidR="00A467B6">
        <w:rPr>
          <w:rFonts w:ascii="Times New Roman" w:hAnsi="Times New Roman"/>
          <w:b/>
          <w:sz w:val="24"/>
        </w:rPr>
        <w:t xml:space="preserve"> w cel</w:t>
      </w:r>
      <w:r>
        <w:rPr>
          <w:rFonts w:ascii="Times New Roman" w:hAnsi="Times New Roman"/>
          <w:b/>
          <w:sz w:val="24"/>
        </w:rPr>
        <w:t>u zmniejszenia zagrożeń związanych</w:t>
      </w:r>
      <w:r w:rsidR="00A467B6">
        <w:rPr>
          <w:rFonts w:ascii="Times New Roman" w:hAnsi="Times New Roman"/>
          <w:b/>
          <w:sz w:val="24"/>
        </w:rPr>
        <w:t xml:space="preserve"> z bez</w:t>
      </w:r>
      <w:r>
        <w:rPr>
          <w:rFonts w:ascii="Times New Roman" w:hAnsi="Times New Roman"/>
          <w:b/>
          <w:sz w:val="24"/>
        </w:rPr>
        <w:t>robociem</w:t>
      </w:r>
      <w:r w:rsidR="00A467B6">
        <w:rPr>
          <w:rFonts w:ascii="Times New Roman" w:hAnsi="Times New Roman"/>
          <w:b/>
          <w:sz w:val="24"/>
        </w:rPr>
        <w:t xml:space="preserve"> w syt</w:t>
      </w:r>
      <w:r>
        <w:rPr>
          <w:rFonts w:ascii="Times New Roman" w:hAnsi="Times New Roman"/>
          <w:b/>
          <w:sz w:val="24"/>
        </w:rPr>
        <w:t>uacji nadzwyczajnej (SURE), aby pomóc państwom członkowskim</w:t>
      </w:r>
      <w:r w:rsidR="00A467B6">
        <w:rPr>
          <w:rFonts w:ascii="Times New Roman" w:hAnsi="Times New Roman"/>
          <w:b/>
          <w:sz w:val="24"/>
        </w:rPr>
        <w:t xml:space="preserve"> w och</w:t>
      </w:r>
      <w:r>
        <w:rPr>
          <w:rFonts w:ascii="Times New Roman" w:hAnsi="Times New Roman"/>
          <w:b/>
          <w:sz w:val="24"/>
        </w:rPr>
        <w:t>ronie miejsc pracy</w:t>
      </w:r>
      <w:r w:rsidR="00A467B6">
        <w:rPr>
          <w:rFonts w:ascii="Times New Roman" w:hAnsi="Times New Roman"/>
          <w:b/>
          <w:sz w:val="24"/>
        </w:rPr>
        <w:t xml:space="preserve"> i doc</w:t>
      </w:r>
      <w:r>
        <w:rPr>
          <w:rFonts w:ascii="Times New Roman" w:hAnsi="Times New Roman"/>
          <w:b/>
          <w:sz w:val="24"/>
        </w:rPr>
        <w:t>hodów pracowników podczas pandemii.</w:t>
      </w:r>
      <w:r>
        <w:rPr>
          <w:rFonts w:ascii="Times New Roman" w:hAnsi="Times New Roman"/>
          <w:sz w:val="24"/>
        </w:rPr>
        <w:t xml:space="preserve"> Instrument ten powstał</w:t>
      </w:r>
      <w:r w:rsidR="00A467B6">
        <w:rPr>
          <w:rFonts w:ascii="Times New Roman" w:hAnsi="Times New Roman"/>
          <w:sz w:val="24"/>
        </w:rPr>
        <w:t xml:space="preserve"> w nas</w:t>
      </w:r>
      <w:r>
        <w:rPr>
          <w:rFonts w:ascii="Times New Roman" w:hAnsi="Times New Roman"/>
          <w:sz w:val="24"/>
        </w:rPr>
        <w:t>tępstwie wytycznych politycznych Komisji jako narzędzie ochrony obywateli Unii podczas wstrząsów zewnętrznych</w:t>
      </w:r>
      <w:r>
        <w:rPr>
          <w:rFonts w:ascii="Times New Roman" w:hAnsi="Times New Roman" w:cs="Times New Roman"/>
          <w:sz w:val="24"/>
          <w:vertAlign w:val="superscript"/>
          <w:lang w:val="en-US"/>
        </w:rPr>
        <w:footnoteReference w:id="1"/>
      </w:r>
      <w:r>
        <w:rPr>
          <w:rFonts w:ascii="Times New Roman" w:hAnsi="Times New Roman"/>
          <w:sz w:val="24"/>
        </w:rPr>
        <w:t>. Jego celem jest</w:t>
      </w:r>
      <w:r w:rsidR="00A467B6">
        <w:rPr>
          <w:rFonts w:ascii="Times New Roman" w:hAnsi="Times New Roman"/>
          <w:sz w:val="24"/>
        </w:rPr>
        <w:t xml:space="preserve"> w szc</w:t>
      </w:r>
      <w:r>
        <w:rPr>
          <w:rFonts w:ascii="Times New Roman" w:hAnsi="Times New Roman"/>
          <w:sz w:val="24"/>
        </w:rPr>
        <w:t>zególności reagowanie na bezpośrednie skutki gospodarcze, społeczne</w:t>
      </w:r>
      <w:r w:rsidR="00A467B6">
        <w:rPr>
          <w:rFonts w:ascii="Times New Roman" w:hAnsi="Times New Roman"/>
          <w:sz w:val="24"/>
        </w:rPr>
        <w:t xml:space="preserve"> i zdr</w:t>
      </w:r>
      <w:r>
        <w:rPr>
          <w:rFonts w:ascii="Times New Roman" w:hAnsi="Times New Roman"/>
          <w:sz w:val="24"/>
        </w:rPr>
        <w:t>owotne pandemii COVID-19 poprzez udzielenie państwom członkowskim, które o to wystąpią, pomocy finansowej</w:t>
      </w:r>
      <w:r>
        <w:rPr>
          <w:rFonts w:ascii="Times New Roman" w:hAnsi="Times New Roman"/>
          <w:sz w:val="16"/>
          <w:szCs w:val="16"/>
        </w:rPr>
        <w:t xml:space="preserve"> </w:t>
      </w:r>
      <w:r>
        <w:rPr>
          <w:rFonts w:ascii="Times New Roman" w:hAnsi="Times New Roman"/>
          <w:sz w:val="24"/>
        </w:rPr>
        <w:t>Unii</w:t>
      </w:r>
      <w:r w:rsidR="00A467B6">
        <w:rPr>
          <w:rFonts w:ascii="Times New Roman" w:hAnsi="Times New Roman"/>
          <w:sz w:val="24"/>
        </w:rPr>
        <w:t xml:space="preserve"> w for</w:t>
      </w:r>
      <w:r>
        <w:rPr>
          <w:rFonts w:ascii="Times New Roman" w:hAnsi="Times New Roman"/>
          <w:sz w:val="24"/>
        </w:rPr>
        <w:t>mie pożyczek na korzystnych warunkach</w:t>
      </w:r>
      <w:r w:rsidR="00A467B6">
        <w:rPr>
          <w:rFonts w:ascii="Times New Roman" w:hAnsi="Times New Roman"/>
          <w:sz w:val="24"/>
        </w:rPr>
        <w:t>. W ram</w:t>
      </w:r>
      <w:r>
        <w:rPr>
          <w:rFonts w:ascii="Times New Roman" w:hAnsi="Times New Roman"/>
          <w:sz w:val="24"/>
        </w:rPr>
        <w:t>ach SURE dostępna jest pomoc finansowa</w:t>
      </w:r>
      <w:r w:rsidR="00A467B6">
        <w:rPr>
          <w:rFonts w:ascii="Times New Roman" w:hAnsi="Times New Roman"/>
          <w:sz w:val="24"/>
        </w:rPr>
        <w:t xml:space="preserve"> w wys</w:t>
      </w:r>
      <w:r>
        <w:rPr>
          <w:rFonts w:ascii="Times New Roman" w:hAnsi="Times New Roman"/>
          <w:sz w:val="24"/>
        </w:rPr>
        <w:t xml:space="preserve">okości </w:t>
      </w:r>
      <w:r w:rsidRPr="00A467B6">
        <w:rPr>
          <w:rFonts w:ascii="Times New Roman" w:hAnsi="Times New Roman"/>
          <w:sz w:val="24"/>
        </w:rPr>
        <w:t>do</w:t>
      </w:r>
      <w:r w:rsidR="00A467B6" w:rsidRPr="00A467B6">
        <w:rPr>
          <w:rFonts w:ascii="Times New Roman" w:hAnsi="Times New Roman"/>
          <w:sz w:val="24"/>
        </w:rPr>
        <w:t> </w:t>
      </w:r>
      <w:r w:rsidRPr="00A467B6">
        <w:rPr>
          <w:rFonts w:ascii="Times New Roman" w:hAnsi="Times New Roman"/>
          <w:sz w:val="24"/>
        </w:rPr>
        <w:t>1</w:t>
      </w:r>
      <w:r>
        <w:rPr>
          <w:rFonts w:ascii="Times New Roman" w:hAnsi="Times New Roman"/>
          <w:sz w:val="24"/>
        </w:rPr>
        <w:t>00 mld EUR na dofinansowanie</w:t>
      </w:r>
      <w:r w:rsidR="00A467B6">
        <w:rPr>
          <w:rFonts w:ascii="Times New Roman" w:hAnsi="Times New Roman"/>
          <w:sz w:val="24"/>
        </w:rPr>
        <w:t xml:space="preserve"> w pań</w:t>
      </w:r>
      <w:r>
        <w:rPr>
          <w:rFonts w:ascii="Times New Roman" w:hAnsi="Times New Roman"/>
          <w:sz w:val="24"/>
        </w:rPr>
        <w:t>stwach członkowskich mechanizmów zmniejszonego wymiaru czasu pracy lub podobnych środków służących ochronie pracowników</w:t>
      </w:r>
      <w:r w:rsidR="00A467B6">
        <w:rPr>
          <w:rFonts w:ascii="Times New Roman" w:hAnsi="Times New Roman"/>
          <w:sz w:val="24"/>
        </w:rPr>
        <w:t xml:space="preserve"> i osó</w:t>
      </w:r>
      <w:r>
        <w:rPr>
          <w:rFonts w:ascii="Times New Roman" w:hAnsi="Times New Roman"/>
          <w:sz w:val="24"/>
        </w:rPr>
        <w:t>b samozatrudnionych,</w:t>
      </w:r>
      <w:r w:rsidR="00A467B6">
        <w:rPr>
          <w:rFonts w:ascii="Times New Roman" w:hAnsi="Times New Roman"/>
          <w:sz w:val="24"/>
        </w:rPr>
        <w:t xml:space="preserve"> a tak</w:t>
      </w:r>
      <w:r>
        <w:rPr>
          <w:rFonts w:ascii="Times New Roman" w:hAnsi="Times New Roman"/>
          <w:sz w:val="24"/>
        </w:rPr>
        <w:t>że pomocniczo środków ochrony zdrowia,</w:t>
      </w:r>
      <w:r w:rsidR="00A467B6">
        <w:rPr>
          <w:rFonts w:ascii="Times New Roman" w:hAnsi="Times New Roman"/>
          <w:sz w:val="24"/>
        </w:rPr>
        <w:t xml:space="preserve"> w szc</w:t>
      </w:r>
      <w:r>
        <w:rPr>
          <w:rFonts w:ascii="Times New Roman" w:hAnsi="Times New Roman"/>
          <w:sz w:val="24"/>
        </w:rPr>
        <w:t>zególności</w:t>
      </w:r>
      <w:r w:rsidR="00A467B6">
        <w:rPr>
          <w:rFonts w:ascii="Times New Roman" w:hAnsi="Times New Roman"/>
          <w:sz w:val="24"/>
        </w:rPr>
        <w:t xml:space="preserve"> w mie</w:t>
      </w:r>
      <w:r>
        <w:rPr>
          <w:rFonts w:ascii="Times New Roman" w:hAnsi="Times New Roman"/>
          <w:sz w:val="24"/>
        </w:rPr>
        <w:t xml:space="preserve">jscu pracy. </w:t>
      </w:r>
    </w:p>
    <w:p w14:paraId="639E24E3" w14:textId="40E0B190"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SURE uzupełnia starania krajowe</w:t>
      </w:r>
      <w:r w:rsidR="00A467B6">
        <w:rPr>
          <w:rFonts w:ascii="Times New Roman" w:hAnsi="Times New Roman"/>
          <w:b/>
          <w:sz w:val="24"/>
        </w:rPr>
        <w:t xml:space="preserve"> i ofe</w:t>
      </w:r>
      <w:r>
        <w:rPr>
          <w:rFonts w:ascii="Times New Roman" w:hAnsi="Times New Roman"/>
          <w:b/>
          <w:sz w:val="24"/>
        </w:rPr>
        <w:t>ruje drugą linię obrony</w:t>
      </w:r>
      <w:r w:rsidR="00A467B6">
        <w:rPr>
          <w:rFonts w:ascii="Times New Roman" w:hAnsi="Times New Roman"/>
          <w:b/>
          <w:sz w:val="24"/>
        </w:rPr>
        <w:t xml:space="preserve"> w cel</w:t>
      </w:r>
      <w:r>
        <w:rPr>
          <w:rFonts w:ascii="Times New Roman" w:hAnsi="Times New Roman"/>
          <w:b/>
          <w:sz w:val="24"/>
        </w:rPr>
        <w:t>u ochrony pracowników</w:t>
      </w:r>
      <w:r w:rsidR="00A467B6">
        <w:rPr>
          <w:rFonts w:ascii="Times New Roman" w:hAnsi="Times New Roman"/>
          <w:b/>
          <w:sz w:val="24"/>
        </w:rPr>
        <w:t xml:space="preserve"> i osó</w:t>
      </w:r>
      <w:r>
        <w:rPr>
          <w:rFonts w:ascii="Times New Roman" w:hAnsi="Times New Roman"/>
          <w:b/>
          <w:sz w:val="24"/>
        </w:rPr>
        <w:t>b samozatrudnionych przed ryzykiem bezrobocia</w:t>
      </w:r>
      <w:r w:rsidR="00A467B6">
        <w:rPr>
          <w:rFonts w:ascii="Times New Roman" w:hAnsi="Times New Roman"/>
          <w:b/>
          <w:sz w:val="24"/>
        </w:rPr>
        <w:t xml:space="preserve"> i utr</w:t>
      </w:r>
      <w:r>
        <w:rPr>
          <w:rFonts w:ascii="Times New Roman" w:hAnsi="Times New Roman"/>
          <w:b/>
          <w:sz w:val="24"/>
        </w:rPr>
        <w:t>aty dochodów.</w:t>
      </w:r>
      <w:r>
        <w:rPr>
          <w:rFonts w:ascii="Times New Roman" w:hAnsi="Times New Roman"/>
          <w:sz w:val="24"/>
        </w:rPr>
        <w:t xml:space="preserve"> Zachowując związek między pracownikami</w:t>
      </w:r>
      <w:r w:rsidR="00A467B6">
        <w:rPr>
          <w:rFonts w:ascii="Times New Roman" w:hAnsi="Times New Roman"/>
          <w:sz w:val="24"/>
        </w:rPr>
        <w:t xml:space="preserve"> a ich</w:t>
      </w:r>
      <w:r>
        <w:rPr>
          <w:rFonts w:ascii="Times New Roman" w:hAnsi="Times New Roman"/>
          <w:sz w:val="24"/>
        </w:rPr>
        <w:t xml:space="preserve"> pracodawcami, SURE chroni również zdolność produkcyjną gospodarki</w:t>
      </w:r>
      <w:r w:rsidR="00A467B6">
        <w:rPr>
          <w:rFonts w:ascii="Times New Roman" w:hAnsi="Times New Roman"/>
          <w:sz w:val="24"/>
        </w:rPr>
        <w:t xml:space="preserve"> i w zwi</w:t>
      </w:r>
      <w:r>
        <w:rPr>
          <w:rFonts w:ascii="Times New Roman" w:hAnsi="Times New Roman"/>
          <w:sz w:val="24"/>
        </w:rPr>
        <w:t>ązku</w:t>
      </w:r>
      <w:r w:rsidR="00A467B6">
        <w:rPr>
          <w:rFonts w:ascii="Times New Roman" w:hAnsi="Times New Roman"/>
          <w:sz w:val="24"/>
        </w:rPr>
        <w:t xml:space="preserve"> z tym</w:t>
      </w:r>
      <w:r>
        <w:rPr>
          <w:rFonts w:ascii="Times New Roman" w:hAnsi="Times New Roman"/>
          <w:sz w:val="24"/>
        </w:rPr>
        <w:t xml:space="preserve"> oczekuje się, że przyczyni się do szybszego</w:t>
      </w:r>
      <w:r w:rsidR="00A467B6">
        <w:rPr>
          <w:rFonts w:ascii="Times New Roman" w:hAnsi="Times New Roman"/>
          <w:sz w:val="24"/>
        </w:rPr>
        <w:t xml:space="preserve"> i bar</w:t>
      </w:r>
      <w:r>
        <w:rPr>
          <w:rFonts w:ascii="Times New Roman" w:hAnsi="Times New Roman"/>
          <w:sz w:val="24"/>
        </w:rPr>
        <w:t>dziej zdecydowanego ożywienia działalności gospodarczej po ustąpieniu pandemii.</w:t>
      </w:r>
    </w:p>
    <w:p w14:paraId="44FA02A3" w14:textId="3182F570"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W niniejszym sprawozdaniu podkreślono główne osiągnięcia SURE na luty 20</w:t>
      </w:r>
      <w:r w:rsidRPr="00A467B6">
        <w:rPr>
          <w:rFonts w:ascii="Times New Roman" w:hAnsi="Times New Roman"/>
          <w:b/>
          <w:sz w:val="24"/>
        </w:rPr>
        <w:t>21</w:t>
      </w:r>
      <w:r w:rsidR="00A467B6" w:rsidRPr="00A467B6">
        <w:rPr>
          <w:rFonts w:ascii="Times New Roman" w:hAnsi="Times New Roman"/>
          <w:b/>
          <w:sz w:val="24"/>
        </w:rPr>
        <w:t> </w:t>
      </w:r>
      <w:r w:rsidRPr="00A467B6">
        <w:rPr>
          <w:rFonts w:ascii="Times New Roman" w:hAnsi="Times New Roman"/>
          <w:b/>
          <w:sz w:val="24"/>
        </w:rPr>
        <w:t>r.</w:t>
      </w:r>
      <w:r>
        <w:rPr>
          <w:rFonts w:ascii="Times New Roman" w:hAnsi="Times New Roman"/>
          <w:b/>
          <w:sz w:val="24"/>
        </w:rPr>
        <w:t>, które można podsumować</w:t>
      </w:r>
      <w:r w:rsidR="00A467B6">
        <w:rPr>
          <w:rFonts w:ascii="Times New Roman" w:hAnsi="Times New Roman"/>
          <w:b/>
          <w:sz w:val="24"/>
        </w:rPr>
        <w:t xml:space="preserve"> w nas</w:t>
      </w:r>
      <w:r>
        <w:rPr>
          <w:rFonts w:ascii="Times New Roman" w:hAnsi="Times New Roman"/>
          <w:b/>
          <w:sz w:val="24"/>
        </w:rPr>
        <w:t>tępujący sposób:</w:t>
      </w:r>
    </w:p>
    <w:p w14:paraId="46440FD1" w14:textId="2C5BA2F4"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szacuje się, że</w:t>
      </w:r>
      <w:r w:rsidR="00A467B6">
        <w:rPr>
          <w:rFonts w:ascii="Times New Roman" w:hAnsi="Times New Roman"/>
          <w:sz w:val="24"/>
          <w:szCs w:val="20"/>
        </w:rPr>
        <w:t xml:space="preserve"> z pom</w:t>
      </w:r>
      <w:r>
        <w:rPr>
          <w:rFonts w:ascii="Times New Roman" w:hAnsi="Times New Roman"/>
          <w:sz w:val="24"/>
          <w:szCs w:val="20"/>
        </w:rPr>
        <w:t>ocy</w:t>
      </w:r>
      <w:r w:rsidR="00A467B6">
        <w:rPr>
          <w:rFonts w:ascii="Times New Roman" w:hAnsi="Times New Roman"/>
          <w:sz w:val="24"/>
          <w:szCs w:val="20"/>
        </w:rPr>
        <w:t xml:space="preserve"> w ram</w:t>
      </w:r>
      <w:r>
        <w:rPr>
          <w:rFonts w:ascii="Times New Roman" w:hAnsi="Times New Roman"/>
          <w:sz w:val="24"/>
          <w:szCs w:val="20"/>
        </w:rPr>
        <w:t>ach SURE skorzystało 25–30 mln osób oraz 1½–2½ mln przedsiębiorstw;</w:t>
      </w:r>
    </w:p>
    <w:p w14:paraId="3C1F8E48" w14:textId="02E67F94"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pomoc finansową</w:t>
      </w:r>
      <w:r w:rsidR="00A467B6">
        <w:rPr>
          <w:rFonts w:ascii="Times New Roman" w:hAnsi="Times New Roman"/>
          <w:sz w:val="24"/>
          <w:szCs w:val="20"/>
        </w:rPr>
        <w:t xml:space="preserve"> w ram</w:t>
      </w:r>
      <w:r>
        <w:rPr>
          <w:rFonts w:ascii="Times New Roman" w:hAnsi="Times New Roman"/>
          <w:sz w:val="24"/>
          <w:szCs w:val="20"/>
        </w:rPr>
        <w:t>ach SURE przyznano 18 państwom członkowskim</w:t>
      </w:r>
      <w:r w:rsidR="00A467B6">
        <w:rPr>
          <w:rFonts w:ascii="Times New Roman" w:hAnsi="Times New Roman"/>
          <w:sz w:val="24"/>
          <w:szCs w:val="20"/>
        </w:rPr>
        <w:t xml:space="preserve"> i ocz</w:t>
      </w:r>
      <w:r>
        <w:rPr>
          <w:rFonts w:ascii="Times New Roman" w:hAnsi="Times New Roman"/>
          <w:sz w:val="24"/>
          <w:szCs w:val="20"/>
        </w:rPr>
        <w:t>ekuje się, że wkrótce dołączy do nich dziewiętnaste państwo członkowskie;</w:t>
      </w:r>
    </w:p>
    <w:p w14:paraId="21A23354" w14:textId="5DB5D250" w:rsid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przyznano ponad 90 mld EUR,</w:t>
      </w:r>
      <w:r w:rsidR="00A467B6">
        <w:rPr>
          <w:rFonts w:ascii="Times New Roman" w:hAnsi="Times New Roman"/>
          <w:sz w:val="24"/>
          <w:szCs w:val="20"/>
        </w:rPr>
        <w:t xml:space="preserve"> a wyp</w:t>
      </w:r>
      <w:r>
        <w:rPr>
          <w:rFonts w:ascii="Times New Roman" w:hAnsi="Times New Roman"/>
          <w:sz w:val="24"/>
          <w:szCs w:val="20"/>
        </w:rPr>
        <w:t xml:space="preserve">łacono ponad 53 mld EUR; </w:t>
      </w:r>
    </w:p>
    <w:p w14:paraId="4D1EBF8C" w14:textId="278BFADB" w:rsidR="003700A8" w:rsidRPr="009D29AB" w:rsidRDefault="003700A8"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color w:val="000000" w:themeColor="text1"/>
          <w:sz w:val="24"/>
          <w:szCs w:val="24"/>
        </w:rPr>
        <w:t>jak dotąd 5 % pomocy finansowej przeznaczono na środki ochrony zdrowia;</w:t>
      </w:r>
    </w:p>
    <w:p w14:paraId="6697E8D1" w14:textId="6B613B8C" w:rsidR="009D29AB" w:rsidRPr="009D29AB" w:rsidRDefault="009D29AB" w:rsidP="009D29AB">
      <w:pPr>
        <w:numPr>
          <w:ilvl w:val="0"/>
          <w:numId w:val="23"/>
        </w:numPr>
        <w:spacing w:before="120" w:after="120" w:line="240" w:lineRule="auto"/>
        <w:contextualSpacing/>
        <w:jc w:val="both"/>
        <w:rPr>
          <w:rFonts w:ascii="Times New Roman" w:eastAsia="Times New Roman" w:hAnsi="Times New Roman" w:cs="Times New Roman"/>
          <w:sz w:val="24"/>
          <w:szCs w:val="20"/>
        </w:rPr>
      </w:pPr>
      <w:r>
        <w:rPr>
          <w:rFonts w:ascii="Times New Roman" w:hAnsi="Times New Roman"/>
          <w:sz w:val="24"/>
          <w:szCs w:val="20"/>
        </w:rPr>
        <w:t>zrealizowano już 8</w:t>
      </w:r>
      <w:r w:rsidRPr="00A467B6">
        <w:rPr>
          <w:rFonts w:ascii="Times New Roman" w:hAnsi="Times New Roman"/>
          <w:sz w:val="24"/>
          <w:szCs w:val="20"/>
        </w:rPr>
        <w:t>0</w:t>
      </w:r>
      <w:r w:rsidR="00A467B6" w:rsidRPr="00A467B6">
        <w:rPr>
          <w:rFonts w:ascii="Times New Roman" w:hAnsi="Times New Roman"/>
          <w:sz w:val="24"/>
          <w:szCs w:val="20"/>
        </w:rPr>
        <w:t> </w:t>
      </w:r>
      <w:r w:rsidRPr="00A467B6">
        <w:rPr>
          <w:rFonts w:ascii="Times New Roman" w:hAnsi="Times New Roman"/>
          <w:sz w:val="24"/>
          <w:szCs w:val="20"/>
        </w:rPr>
        <w:t>%</w:t>
      </w:r>
      <w:r>
        <w:rPr>
          <w:rFonts w:ascii="Times New Roman" w:hAnsi="Times New Roman"/>
          <w:sz w:val="24"/>
          <w:szCs w:val="20"/>
        </w:rPr>
        <w:t xml:space="preserve"> wydatków publicznych planowanych przez państwa członkowskie;</w:t>
      </w:r>
    </w:p>
    <w:p w14:paraId="6CCB88D1" w14:textId="77777777" w:rsidR="00832B23" w:rsidRPr="00832B23" w:rsidRDefault="009D29AB" w:rsidP="00501D15">
      <w:pPr>
        <w:numPr>
          <w:ilvl w:val="0"/>
          <w:numId w:val="23"/>
        </w:numPr>
        <w:spacing w:before="120" w:after="240" w:line="240" w:lineRule="auto"/>
        <w:ind w:left="714" w:hanging="357"/>
        <w:jc w:val="both"/>
        <w:rPr>
          <w:rFonts w:ascii="Times New Roman" w:hAnsi="Times New Roman" w:cs="Times New Roman"/>
          <w:sz w:val="24"/>
        </w:rPr>
      </w:pPr>
      <w:r>
        <w:rPr>
          <w:rFonts w:ascii="Times New Roman" w:hAnsi="Times New Roman"/>
          <w:sz w:val="24"/>
        </w:rPr>
        <w:t>szacuje się, że państwa członkowskie zaoszczędziły 5,8 mld EUR na płatnościach odsetek.</w:t>
      </w:r>
    </w:p>
    <w:p w14:paraId="574CB389" w14:textId="66B43481"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 xml:space="preserve">Niniejsze sprawozdanie jest pierwszym sprawozdaniem półrocznym dotyczącym SURE. </w:t>
      </w:r>
      <w:r>
        <w:rPr>
          <w:rFonts w:ascii="Times New Roman" w:hAnsi="Times New Roman"/>
          <w:sz w:val="24"/>
        </w:rPr>
        <w:t>Zostało ono przyjęte przez Komisję Europejską („Komisja”) zgodnie</w:t>
      </w:r>
      <w:r w:rsidR="00A467B6">
        <w:rPr>
          <w:rFonts w:ascii="Times New Roman" w:hAnsi="Times New Roman"/>
          <w:sz w:val="24"/>
        </w:rPr>
        <w:t xml:space="preserve"> z </w:t>
      </w:r>
      <w:r w:rsidR="00A467B6" w:rsidRPr="00A467B6">
        <w:rPr>
          <w:rFonts w:ascii="Times New Roman" w:hAnsi="Times New Roman"/>
          <w:sz w:val="24"/>
        </w:rPr>
        <w:t>art</w:t>
      </w:r>
      <w:r w:rsidRPr="00A467B6">
        <w:rPr>
          <w:rFonts w:ascii="Times New Roman" w:hAnsi="Times New Roman"/>
          <w:sz w:val="24"/>
        </w:rPr>
        <w:t>.</w:t>
      </w:r>
      <w:r w:rsidR="00A467B6" w:rsidRPr="00A467B6">
        <w:rPr>
          <w:rFonts w:ascii="Times New Roman" w:hAnsi="Times New Roman"/>
          <w:sz w:val="24"/>
        </w:rPr>
        <w:t> </w:t>
      </w:r>
      <w:r w:rsidRPr="00A467B6">
        <w:rPr>
          <w:rFonts w:ascii="Times New Roman" w:hAnsi="Times New Roman"/>
          <w:sz w:val="24"/>
        </w:rPr>
        <w:t>1</w:t>
      </w:r>
      <w:r>
        <w:rPr>
          <w:rFonts w:ascii="Times New Roman" w:hAnsi="Times New Roman"/>
          <w:sz w:val="24"/>
        </w:rPr>
        <w:t>4 rozporządzenia Rady (UE) 2020/672 („rozporządzenie</w:t>
      </w:r>
      <w:r w:rsidR="00A467B6">
        <w:rPr>
          <w:rFonts w:ascii="Times New Roman" w:hAnsi="Times New Roman"/>
          <w:sz w:val="24"/>
        </w:rPr>
        <w:t xml:space="preserve"> w spr</w:t>
      </w:r>
      <w:r>
        <w:rPr>
          <w:rFonts w:ascii="Times New Roman" w:hAnsi="Times New Roman"/>
          <w:sz w:val="24"/>
        </w:rPr>
        <w:t>awie SURE”)</w:t>
      </w:r>
      <w:r>
        <w:rPr>
          <w:rFonts w:ascii="Times New Roman" w:hAnsi="Times New Roman" w:cs="Times New Roman"/>
          <w:sz w:val="24"/>
          <w:vertAlign w:val="superscript"/>
          <w:lang w:val="en-GB"/>
        </w:rPr>
        <w:footnoteReference w:id="2"/>
      </w:r>
      <w:r w:rsidR="00A467B6">
        <w:rPr>
          <w:rFonts w:ascii="Times New Roman" w:hAnsi="Times New Roman"/>
          <w:sz w:val="24"/>
        </w:rPr>
        <w:t xml:space="preserve"> w cel</w:t>
      </w:r>
      <w:r>
        <w:rPr>
          <w:rFonts w:ascii="Times New Roman" w:hAnsi="Times New Roman"/>
          <w:sz w:val="24"/>
        </w:rPr>
        <w:t>u wywiązania się</w:t>
      </w:r>
      <w:r w:rsidR="00A467B6">
        <w:rPr>
          <w:rFonts w:ascii="Times New Roman" w:hAnsi="Times New Roman"/>
          <w:sz w:val="24"/>
        </w:rPr>
        <w:t xml:space="preserve"> z obo</w:t>
      </w:r>
      <w:r>
        <w:rPr>
          <w:rFonts w:ascii="Times New Roman" w:hAnsi="Times New Roman"/>
          <w:sz w:val="24"/>
        </w:rPr>
        <w:t>wiązku złożenia sprawozdania Parlamentowi Europejskiemu, Radzie, Komitetowi Ekonomiczno-Finansowemu</w:t>
      </w:r>
      <w:r w:rsidR="00A467B6">
        <w:rPr>
          <w:rFonts w:ascii="Times New Roman" w:hAnsi="Times New Roman"/>
          <w:sz w:val="24"/>
        </w:rPr>
        <w:t xml:space="preserve"> i Kom</w:t>
      </w:r>
      <w:r>
        <w:rPr>
          <w:rFonts w:ascii="Times New Roman" w:hAnsi="Times New Roman"/>
          <w:sz w:val="24"/>
        </w:rPr>
        <w:t>itetowi ds. Zatrudnienia</w:t>
      </w:r>
      <w:r w:rsidR="00A467B6">
        <w:rPr>
          <w:rFonts w:ascii="Times New Roman" w:hAnsi="Times New Roman"/>
          <w:sz w:val="24"/>
        </w:rPr>
        <w:t xml:space="preserve"> w ter</w:t>
      </w:r>
      <w:r>
        <w:rPr>
          <w:rFonts w:ascii="Times New Roman" w:hAnsi="Times New Roman"/>
          <w:sz w:val="24"/>
        </w:rPr>
        <w:t>minie 6 miesięcy od daty uruchomienia SURE</w:t>
      </w:r>
      <w:r w:rsidR="00A467B6">
        <w:rPr>
          <w:rFonts w:ascii="Times New Roman" w:hAnsi="Times New Roman"/>
          <w:sz w:val="24"/>
        </w:rPr>
        <w:t xml:space="preserve"> w dni</w:t>
      </w:r>
      <w:r>
        <w:rPr>
          <w:rFonts w:ascii="Times New Roman" w:hAnsi="Times New Roman"/>
          <w:sz w:val="24"/>
        </w:rPr>
        <w:t>u 22 września 20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Na podstawie </w:t>
      </w:r>
      <w:r w:rsidRPr="00A467B6">
        <w:rPr>
          <w:rFonts w:ascii="Times New Roman" w:hAnsi="Times New Roman"/>
          <w:sz w:val="24"/>
        </w:rPr>
        <w:t>art.</w:t>
      </w:r>
      <w:r w:rsidR="00A467B6" w:rsidRPr="00A467B6">
        <w:rPr>
          <w:rFonts w:ascii="Times New Roman" w:hAnsi="Times New Roman"/>
          <w:sz w:val="24"/>
        </w:rPr>
        <w:t> </w:t>
      </w:r>
      <w:r w:rsidRPr="00A467B6">
        <w:rPr>
          <w:rFonts w:ascii="Times New Roman" w:hAnsi="Times New Roman"/>
          <w:sz w:val="24"/>
        </w:rPr>
        <w:t>1</w:t>
      </w:r>
      <w:r>
        <w:rPr>
          <w:rFonts w:ascii="Times New Roman" w:hAnsi="Times New Roman"/>
          <w:sz w:val="24"/>
        </w:rPr>
        <w:t>4 rozporządzenia Komisja składa sprawozdanie dotyczące wykorzystania pomocy finansowej,</w:t>
      </w:r>
      <w:r w:rsidR="00A467B6">
        <w:rPr>
          <w:rFonts w:ascii="Times New Roman" w:hAnsi="Times New Roman"/>
          <w:sz w:val="24"/>
        </w:rPr>
        <w:t xml:space="preserve"> w tym</w:t>
      </w:r>
      <w:r>
        <w:rPr>
          <w:rFonts w:ascii="Times New Roman" w:hAnsi="Times New Roman"/>
          <w:sz w:val="24"/>
        </w:rPr>
        <w:t xml:space="preserve"> pozostających kwot należnych oraz mającego zastosowanie harmonogramu spłat</w:t>
      </w:r>
      <w:r w:rsidR="00A467B6">
        <w:rPr>
          <w:rFonts w:ascii="Times New Roman" w:hAnsi="Times New Roman"/>
          <w:sz w:val="24"/>
        </w:rPr>
        <w:t xml:space="preserve"> w ram</w:t>
      </w:r>
      <w:r>
        <w:rPr>
          <w:rFonts w:ascii="Times New Roman" w:hAnsi="Times New Roman"/>
          <w:sz w:val="24"/>
        </w:rPr>
        <w:t>ach SURE,</w:t>
      </w:r>
      <w:r w:rsidR="00A467B6">
        <w:rPr>
          <w:rFonts w:ascii="Times New Roman" w:hAnsi="Times New Roman"/>
          <w:sz w:val="24"/>
        </w:rPr>
        <w:t xml:space="preserve"> a tak</w:t>
      </w:r>
      <w:r>
        <w:rPr>
          <w:rFonts w:ascii="Times New Roman" w:hAnsi="Times New Roman"/>
          <w:sz w:val="24"/>
        </w:rPr>
        <w:t>że dalszego występowania zdarzeń nadzwyczajnych uzasadniających stosowanie rozporządzenia</w:t>
      </w:r>
      <w:r w:rsidR="00A467B6">
        <w:rPr>
          <w:rFonts w:ascii="Times New Roman" w:hAnsi="Times New Roman"/>
          <w:sz w:val="24"/>
        </w:rPr>
        <w:t xml:space="preserve"> w spr</w:t>
      </w:r>
      <w:r>
        <w:rPr>
          <w:rFonts w:ascii="Times New Roman" w:hAnsi="Times New Roman"/>
          <w:sz w:val="24"/>
        </w:rPr>
        <w:t>awie SURE („pandemia COVID-19”). Jest to pierwsze takie sprawozdanie przyjęte przez Komisję. Kolejne sprawozdania będą sporządzane co sześć miesięcy, jak długo będzie dostępny SURE</w:t>
      </w:r>
      <w:r>
        <w:rPr>
          <w:rFonts w:ascii="Times New Roman" w:hAnsi="Times New Roman" w:cs="Times New Roman"/>
          <w:sz w:val="24"/>
          <w:vertAlign w:val="superscript"/>
          <w:lang w:val="en-GB"/>
        </w:rPr>
        <w:footnoteReference w:id="3"/>
      </w:r>
      <w:r>
        <w:rPr>
          <w:rFonts w:ascii="Times New Roman" w:hAnsi="Times New Roman"/>
          <w:sz w:val="24"/>
        </w:rPr>
        <w:t>. Datą graniczną</w:t>
      </w:r>
      <w:r w:rsidR="00A467B6">
        <w:rPr>
          <w:rFonts w:ascii="Times New Roman" w:hAnsi="Times New Roman"/>
          <w:sz w:val="24"/>
        </w:rPr>
        <w:t xml:space="preserve"> w odn</w:t>
      </w:r>
      <w:r>
        <w:rPr>
          <w:rFonts w:ascii="Times New Roman" w:hAnsi="Times New Roman"/>
          <w:sz w:val="24"/>
        </w:rPr>
        <w:t>iesieniu do zamieszczenia informacji</w:t>
      </w:r>
      <w:r w:rsidR="00A467B6">
        <w:rPr>
          <w:rFonts w:ascii="Times New Roman" w:hAnsi="Times New Roman"/>
          <w:sz w:val="24"/>
        </w:rPr>
        <w:t xml:space="preserve"> w nin</w:t>
      </w:r>
      <w:r>
        <w:rPr>
          <w:rFonts w:ascii="Times New Roman" w:hAnsi="Times New Roman"/>
          <w:sz w:val="24"/>
        </w:rPr>
        <w:t>iejszym sprawozdaniu był dzień 26 lutego 20</w:t>
      </w:r>
      <w:r w:rsidRPr="00A467B6">
        <w:rPr>
          <w:rFonts w:ascii="Times New Roman" w:hAnsi="Times New Roman"/>
          <w:sz w:val="24"/>
        </w:rPr>
        <w:t>21</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w:t>
      </w:r>
    </w:p>
    <w:p w14:paraId="3490611E" w14:textId="289CF063"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SURE jest również pierwszym przypadkiem, gdy UE wyemitowała obligacje społeczne</w:t>
      </w:r>
      <w:r w:rsidR="00A467B6">
        <w:rPr>
          <w:rFonts w:ascii="Times New Roman" w:hAnsi="Times New Roman"/>
          <w:b/>
          <w:sz w:val="24"/>
        </w:rPr>
        <w:t xml:space="preserve"> w cel</w:t>
      </w:r>
      <w:r>
        <w:rPr>
          <w:rFonts w:ascii="Times New Roman" w:hAnsi="Times New Roman"/>
          <w:b/>
          <w:sz w:val="24"/>
        </w:rPr>
        <w:t xml:space="preserve">u pozyskania funduszy na pomocy finansowej dla państw członkowskich, co odzwierciedla jej zaangażowanie na rzecz zrównoważonego finansowania. </w:t>
      </w:r>
      <w:r>
        <w:rPr>
          <w:rFonts w:ascii="Times New Roman" w:hAnsi="Times New Roman"/>
          <w:sz w:val="24"/>
        </w:rPr>
        <w:t>UE przyjęła</w:t>
      </w:r>
      <w:r w:rsidR="00A467B6">
        <w:rPr>
          <w:rFonts w:ascii="Times New Roman" w:hAnsi="Times New Roman"/>
          <w:sz w:val="24"/>
        </w:rPr>
        <w:t xml:space="preserve"> i opu</w:t>
      </w:r>
      <w:r>
        <w:rPr>
          <w:rFonts w:ascii="Times New Roman" w:hAnsi="Times New Roman"/>
          <w:sz w:val="24"/>
        </w:rPr>
        <w:t>blikowała ramy dotyczące unijnych obligacji społecznych SURE („ramy”), aby ułatwić to zaangażowanie</w:t>
      </w:r>
      <w:r>
        <w:rPr>
          <w:rFonts w:ascii="Times New Roman" w:hAnsi="Times New Roman" w:cs="Times New Roman"/>
          <w:sz w:val="24"/>
          <w:vertAlign w:val="superscript"/>
          <w:lang w:val="en-GB"/>
        </w:rPr>
        <w:footnoteReference w:id="4"/>
      </w:r>
      <w:r>
        <w:rPr>
          <w:rFonts w:ascii="Times New Roman" w:hAnsi="Times New Roman"/>
          <w:sz w:val="24"/>
        </w:rPr>
        <w:t>. Wyjaśniono</w:t>
      </w:r>
      <w:r w:rsidR="00A467B6">
        <w:rPr>
          <w:rFonts w:ascii="Times New Roman" w:hAnsi="Times New Roman"/>
          <w:sz w:val="24"/>
        </w:rPr>
        <w:t xml:space="preserve"> w nic</w:t>
      </w:r>
      <w:r>
        <w:rPr>
          <w:rFonts w:ascii="Times New Roman" w:hAnsi="Times New Roman"/>
          <w:sz w:val="24"/>
        </w:rPr>
        <w:t>h, że środki z SURE będą wykorzystywane do finansowania kwalifikujących się środków społecznych</w:t>
      </w:r>
      <w:r w:rsidR="00A467B6">
        <w:rPr>
          <w:rFonts w:ascii="Times New Roman" w:hAnsi="Times New Roman"/>
          <w:sz w:val="24"/>
        </w:rPr>
        <w:t>. W </w:t>
      </w:r>
      <w:r w:rsidR="00A467B6" w:rsidRPr="00A467B6">
        <w:rPr>
          <w:rFonts w:ascii="Times New Roman" w:hAnsi="Times New Roman"/>
          <w:sz w:val="24"/>
        </w:rPr>
        <w:t>pkt </w:t>
      </w:r>
      <w:r w:rsidRPr="00A467B6">
        <w:rPr>
          <w:rFonts w:ascii="Times New Roman" w:hAnsi="Times New Roman"/>
          <w:sz w:val="24"/>
        </w:rPr>
        <w:t>2</w:t>
      </w:r>
      <w:r>
        <w:rPr>
          <w:rFonts w:ascii="Times New Roman" w:hAnsi="Times New Roman"/>
          <w:sz w:val="24"/>
        </w:rPr>
        <w:t>.4 tych ram zobowiązano Komisję do przedstawiania sprawozdania na temat przydziału środków z SURE</w:t>
      </w:r>
      <w:r w:rsidR="00A467B6">
        <w:rPr>
          <w:rFonts w:ascii="Times New Roman" w:hAnsi="Times New Roman"/>
          <w:sz w:val="24"/>
        </w:rPr>
        <w:t xml:space="preserve"> i ich</w:t>
      </w:r>
      <w:r>
        <w:rPr>
          <w:rFonts w:ascii="Times New Roman" w:hAnsi="Times New Roman"/>
          <w:sz w:val="24"/>
        </w:rPr>
        <w:t xml:space="preserve"> wpływu. Niniejsze sprawozdanie będzie również wypełnieniem tego obowiązku.</w:t>
      </w:r>
    </w:p>
    <w:p w14:paraId="21EA8747" w14:textId="339B209E"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W niniejszym sprawozdaniu przedstawiono dotychczasowe operacje</w:t>
      </w:r>
      <w:r w:rsidR="00A467B6">
        <w:rPr>
          <w:rFonts w:ascii="Times New Roman" w:hAnsi="Times New Roman"/>
          <w:b/>
          <w:sz w:val="24"/>
        </w:rPr>
        <w:t xml:space="preserve"> i wyk</w:t>
      </w:r>
      <w:r>
        <w:rPr>
          <w:rFonts w:ascii="Times New Roman" w:hAnsi="Times New Roman"/>
          <w:b/>
          <w:sz w:val="24"/>
        </w:rPr>
        <w:t>orzystanie SURE oraz dokonano przeglądu jego skutków społeczno-ekonomicznych.</w:t>
      </w:r>
      <w:r>
        <w:rPr>
          <w:rFonts w:ascii="Times New Roman" w:hAnsi="Times New Roman"/>
          <w:sz w:val="24"/>
        </w:rPr>
        <w:t xml:space="preserve"> Składa się ono</w:t>
      </w:r>
      <w:r w:rsidR="00A467B6">
        <w:rPr>
          <w:rFonts w:ascii="Times New Roman" w:hAnsi="Times New Roman"/>
          <w:sz w:val="24"/>
        </w:rPr>
        <w:t xml:space="preserve"> z sze</w:t>
      </w:r>
      <w:r>
        <w:rPr>
          <w:rFonts w:ascii="Times New Roman" w:hAnsi="Times New Roman"/>
          <w:sz w:val="24"/>
        </w:rPr>
        <w:t>ściu sekcji</w:t>
      </w:r>
      <w:r w:rsidR="00A467B6">
        <w:rPr>
          <w:rFonts w:ascii="Times New Roman" w:hAnsi="Times New Roman"/>
          <w:sz w:val="24"/>
        </w:rPr>
        <w:t>. W sek</w:t>
      </w:r>
      <w:r>
        <w:rPr>
          <w:rFonts w:ascii="Times New Roman" w:hAnsi="Times New Roman"/>
          <w:sz w:val="24"/>
        </w:rPr>
        <w:t>cji I przypomniano kluczowe działania podjęte przez Komisję, Radę</w:t>
      </w:r>
      <w:r w:rsidR="00A467B6">
        <w:rPr>
          <w:rFonts w:ascii="Times New Roman" w:hAnsi="Times New Roman"/>
          <w:sz w:val="24"/>
        </w:rPr>
        <w:t xml:space="preserve"> i pań</w:t>
      </w:r>
      <w:r>
        <w:rPr>
          <w:rFonts w:ascii="Times New Roman" w:hAnsi="Times New Roman"/>
          <w:sz w:val="24"/>
        </w:rPr>
        <w:t>stwa członkowskie przy ustanawianiu</w:t>
      </w:r>
      <w:r w:rsidR="00A467B6">
        <w:rPr>
          <w:rFonts w:ascii="Times New Roman" w:hAnsi="Times New Roman"/>
          <w:sz w:val="24"/>
        </w:rPr>
        <w:t xml:space="preserve"> i wdr</w:t>
      </w:r>
      <w:r>
        <w:rPr>
          <w:rFonts w:ascii="Times New Roman" w:hAnsi="Times New Roman"/>
          <w:sz w:val="24"/>
        </w:rPr>
        <w:t>ażaniu SURE</w:t>
      </w:r>
      <w:r w:rsidR="00A467B6">
        <w:rPr>
          <w:rFonts w:ascii="Times New Roman" w:hAnsi="Times New Roman"/>
          <w:sz w:val="24"/>
        </w:rPr>
        <w:t>. W sek</w:t>
      </w:r>
      <w:r>
        <w:rPr>
          <w:rFonts w:ascii="Times New Roman" w:hAnsi="Times New Roman"/>
          <w:sz w:val="24"/>
        </w:rPr>
        <w:t>cji II opisano, które państwa członkowskie korzystają</w:t>
      </w:r>
      <w:r w:rsidR="00A467B6">
        <w:rPr>
          <w:rFonts w:ascii="Times New Roman" w:hAnsi="Times New Roman"/>
          <w:sz w:val="24"/>
        </w:rPr>
        <w:t xml:space="preserve"> z pom</w:t>
      </w:r>
      <w:r>
        <w:rPr>
          <w:rFonts w:ascii="Times New Roman" w:hAnsi="Times New Roman"/>
          <w:sz w:val="24"/>
        </w:rPr>
        <w:t>ocy finansowej</w:t>
      </w:r>
      <w:r w:rsidR="00A467B6">
        <w:rPr>
          <w:rFonts w:ascii="Times New Roman" w:hAnsi="Times New Roman"/>
          <w:sz w:val="24"/>
        </w:rPr>
        <w:t xml:space="preserve"> w ram</w:t>
      </w:r>
      <w:r>
        <w:rPr>
          <w:rFonts w:ascii="Times New Roman" w:hAnsi="Times New Roman"/>
          <w:sz w:val="24"/>
        </w:rPr>
        <w:t>ach SURE, uwzględniając pozostające do spłaty kwoty, które przyznano</w:t>
      </w:r>
      <w:r w:rsidR="00A467B6">
        <w:rPr>
          <w:rFonts w:ascii="Times New Roman" w:hAnsi="Times New Roman"/>
          <w:sz w:val="24"/>
        </w:rPr>
        <w:t xml:space="preserve"> i wyp</w:t>
      </w:r>
      <w:r>
        <w:rPr>
          <w:rFonts w:ascii="Times New Roman" w:hAnsi="Times New Roman"/>
          <w:sz w:val="24"/>
        </w:rPr>
        <w:t>łacono, oraz harmonogramy spłat</w:t>
      </w:r>
      <w:r w:rsidR="00A467B6">
        <w:rPr>
          <w:rFonts w:ascii="Times New Roman" w:hAnsi="Times New Roman"/>
          <w:sz w:val="24"/>
        </w:rPr>
        <w:t>. W sek</w:t>
      </w:r>
      <w:r>
        <w:rPr>
          <w:rFonts w:ascii="Times New Roman" w:hAnsi="Times New Roman"/>
          <w:sz w:val="24"/>
        </w:rPr>
        <w:t>cji III podsumowano wydatki publiczne państw członkowskich na środki krajowe objęte wsparciem</w:t>
      </w:r>
      <w:r w:rsidR="00A467B6">
        <w:rPr>
          <w:rFonts w:ascii="Times New Roman" w:hAnsi="Times New Roman"/>
          <w:sz w:val="24"/>
        </w:rPr>
        <w:t xml:space="preserve"> w ram</w:t>
      </w:r>
      <w:r>
        <w:rPr>
          <w:rFonts w:ascii="Times New Roman" w:hAnsi="Times New Roman"/>
          <w:sz w:val="24"/>
        </w:rPr>
        <w:t>ach SURE</w:t>
      </w:r>
      <w:r>
        <w:rPr>
          <w:rFonts w:ascii="Times New Roman" w:hAnsi="Times New Roman" w:cs="Times New Roman"/>
          <w:sz w:val="24"/>
          <w:vertAlign w:val="superscript"/>
          <w:lang w:val="en-GB"/>
        </w:rPr>
        <w:footnoteReference w:id="5"/>
      </w:r>
      <w:r>
        <w:rPr>
          <w:rFonts w:ascii="Times New Roman" w:hAnsi="Times New Roman"/>
          <w:sz w:val="24"/>
        </w:rPr>
        <w:t>. Uzupełnieniem tej sekcji jest przegląd tych mechanizmów znajdujący się</w:t>
      </w:r>
      <w:r w:rsidR="00A467B6">
        <w:rPr>
          <w:rFonts w:ascii="Times New Roman" w:hAnsi="Times New Roman"/>
          <w:sz w:val="24"/>
        </w:rPr>
        <w:t xml:space="preserve"> w zał</w:t>
      </w:r>
      <w:r>
        <w:rPr>
          <w:rFonts w:ascii="Times New Roman" w:hAnsi="Times New Roman"/>
          <w:sz w:val="24"/>
        </w:rPr>
        <w:t>ączniku 1</w:t>
      </w:r>
      <w:r w:rsidR="00A467B6">
        <w:rPr>
          <w:rFonts w:ascii="Times New Roman" w:hAnsi="Times New Roman"/>
          <w:sz w:val="24"/>
        </w:rPr>
        <w:t>. W sek</w:t>
      </w:r>
      <w:r>
        <w:rPr>
          <w:rFonts w:ascii="Times New Roman" w:hAnsi="Times New Roman"/>
          <w:sz w:val="24"/>
        </w:rPr>
        <w:t>cji IV przeprowadzono wstępną analizę wpływu SURE,</w:t>
      </w:r>
      <w:r w:rsidR="00A467B6">
        <w:rPr>
          <w:rFonts w:ascii="Times New Roman" w:hAnsi="Times New Roman"/>
          <w:sz w:val="24"/>
        </w:rPr>
        <w:t xml:space="preserve"> w tym</w:t>
      </w:r>
      <w:r>
        <w:rPr>
          <w:rFonts w:ascii="Times New Roman" w:hAnsi="Times New Roman"/>
          <w:sz w:val="24"/>
        </w:rPr>
        <w:t xml:space="preserve"> wpływu pandemii COVID-19 na zatrudnienie oraz oszczędności</w:t>
      </w:r>
      <w:r w:rsidR="00A467B6">
        <w:rPr>
          <w:rFonts w:ascii="Times New Roman" w:hAnsi="Times New Roman"/>
          <w:sz w:val="24"/>
        </w:rPr>
        <w:t xml:space="preserve"> z tyt</w:t>
      </w:r>
      <w:r>
        <w:rPr>
          <w:rFonts w:ascii="Times New Roman" w:hAnsi="Times New Roman"/>
          <w:sz w:val="24"/>
        </w:rPr>
        <w:t>ułu odsetek osiągniętych przez państwa członkowskie dzięki korzystnym warunkom finansowania uzyskanym przez UE</w:t>
      </w:r>
      <w:r w:rsidR="00A467B6">
        <w:rPr>
          <w:rFonts w:ascii="Times New Roman" w:hAnsi="Times New Roman"/>
          <w:sz w:val="24"/>
        </w:rPr>
        <w:t>. W sek</w:t>
      </w:r>
      <w:r>
        <w:rPr>
          <w:rFonts w:ascii="Times New Roman" w:hAnsi="Times New Roman"/>
          <w:sz w:val="24"/>
        </w:rPr>
        <w:t>cji V omówiono utrzymujący się wpływ pandemii COVID-19, który uzasadnia kontynuację SURE</w:t>
      </w:r>
      <w:r w:rsidR="00A467B6">
        <w:rPr>
          <w:rFonts w:ascii="Times New Roman" w:hAnsi="Times New Roman"/>
          <w:sz w:val="24"/>
        </w:rPr>
        <w:t>. W sek</w:t>
      </w:r>
      <w:r>
        <w:rPr>
          <w:rFonts w:ascii="Times New Roman" w:hAnsi="Times New Roman"/>
          <w:sz w:val="24"/>
        </w:rPr>
        <w:t xml:space="preserve">cji VI zawarto sprawozdanie na podstawie </w:t>
      </w:r>
      <w:r w:rsidRPr="00A467B6">
        <w:rPr>
          <w:rFonts w:ascii="Times New Roman" w:hAnsi="Times New Roman"/>
          <w:sz w:val="24"/>
        </w:rPr>
        <w:t>pkt</w:t>
      </w:r>
      <w:r w:rsidR="00A467B6" w:rsidRPr="00A467B6">
        <w:rPr>
          <w:rFonts w:ascii="Times New Roman" w:hAnsi="Times New Roman"/>
          <w:sz w:val="24"/>
        </w:rPr>
        <w:t> </w:t>
      </w:r>
      <w:r w:rsidRPr="00A467B6">
        <w:rPr>
          <w:rFonts w:ascii="Times New Roman" w:hAnsi="Times New Roman"/>
          <w:sz w:val="24"/>
        </w:rPr>
        <w:t>2</w:t>
      </w:r>
      <w:r>
        <w:rPr>
          <w:rFonts w:ascii="Times New Roman" w:hAnsi="Times New Roman"/>
          <w:sz w:val="24"/>
        </w:rPr>
        <w:t xml:space="preserve">.4 ram dotyczące unijnych obligacji społecznych SURE, które włączono do niniejszego sprawozdania. </w:t>
      </w:r>
    </w:p>
    <w:p w14:paraId="3D547E4B" w14:textId="77777777" w:rsidR="009D29AB" w:rsidRPr="000C43EC" w:rsidRDefault="009D29AB" w:rsidP="009D29AB">
      <w:pPr>
        <w:spacing w:before="120" w:after="120"/>
        <w:rPr>
          <w:rFonts w:ascii="Times New Roman" w:hAnsi="Times New Roman" w:cs="Times New Roman"/>
          <w:color w:val="000000" w:themeColor="text1"/>
        </w:rPr>
      </w:pPr>
    </w:p>
    <w:p w14:paraId="6D7DD25E" w14:textId="3F87F2A2" w:rsidR="009D29AB" w:rsidRPr="009D29AB" w:rsidRDefault="009D29AB" w:rsidP="00832B23">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SURE</w:t>
      </w:r>
      <w:r w:rsidR="00A467B6">
        <w:rPr>
          <w:rFonts w:ascii="Times New Roman" w:hAnsi="Times New Roman"/>
          <w:b/>
          <w:smallCaps/>
          <w:sz w:val="24"/>
          <w:szCs w:val="20"/>
        </w:rPr>
        <w:t xml:space="preserve"> i jeg</w:t>
      </w:r>
      <w:r>
        <w:rPr>
          <w:rFonts w:ascii="Times New Roman" w:hAnsi="Times New Roman"/>
          <w:b/>
          <w:smallCaps/>
          <w:sz w:val="24"/>
          <w:szCs w:val="20"/>
        </w:rPr>
        <w:t>o uruchomienie</w:t>
      </w:r>
    </w:p>
    <w:p w14:paraId="0EFC5929" w14:textId="7E5A1F93"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W dniu 2 kwietnia 20</w:t>
      </w:r>
      <w:r w:rsidRPr="00A467B6">
        <w:rPr>
          <w:rFonts w:ascii="Times New Roman" w:hAnsi="Times New Roman"/>
          <w:b/>
          <w:sz w:val="24"/>
        </w:rPr>
        <w:t>20</w:t>
      </w:r>
      <w:r w:rsidR="00A467B6" w:rsidRPr="00A467B6">
        <w:rPr>
          <w:rFonts w:ascii="Times New Roman" w:hAnsi="Times New Roman"/>
          <w:b/>
          <w:sz w:val="24"/>
        </w:rPr>
        <w:t> </w:t>
      </w:r>
      <w:r w:rsidRPr="00A467B6">
        <w:rPr>
          <w:rFonts w:ascii="Times New Roman" w:hAnsi="Times New Roman"/>
          <w:b/>
          <w:sz w:val="24"/>
        </w:rPr>
        <w:t>r.</w:t>
      </w:r>
      <w:r>
        <w:rPr>
          <w:rFonts w:ascii="Times New Roman" w:hAnsi="Times New Roman"/>
          <w:b/>
          <w:sz w:val="24"/>
        </w:rPr>
        <w:t xml:space="preserve"> Komisja przedstawiła wniosek dotyczący SURE jako element początkowej reakcji UE na pandemię COVID-19, aby wesprzeć państwa członkowskie</w:t>
      </w:r>
      <w:r>
        <w:rPr>
          <w:rFonts w:ascii="Times New Roman" w:hAnsi="Times New Roman" w:cs="Times New Roman"/>
          <w:b/>
          <w:sz w:val="24"/>
          <w:vertAlign w:val="superscript"/>
          <w:lang w:val="en-GB"/>
        </w:rPr>
        <w:footnoteReference w:id="6"/>
      </w:r>
      <w:r>
        <w:rPr>
          <w:rFonts w:ascii="Times New Roman" w:hAnsi="Times New Roman"/>
          <w:b/>
          <w:sz w:val="24"/>
        </w:rPr>
        <w:t xml:space="preserve">. </w:t>
      </w:r>
      <w:r>
        <w:rPr>
          <w:rFonts w:ascii="Times New Roman" w:hAnsi="Times New Roman"/>
          <w:sz w:val="24"/>
          <w:szCs w:val="24"/>
        </w:rPr>
        <w:t>Na podstawie tego wniosku</w:t>
      </w:r>
      <w:r w:rsidR="00A467B6">
        <w:rPr>
          <w:rFonts w:ascii="Times New Roman" w:hAnsi="Times New Roman"/>
          <w:sz w:val="24"/>
          <w:szCs w:val="24"/>
        </w:rPr>
        <w:t xml:space="preserve"> w dni</w:t>
      </w:r>
      <w:r>
        <w:rPr>
          <w:rFonts w:ascii="Times New Roman" w:hAnsi="Times New Roman"/>
          <w:sz w:val="24"/>
          <w:szCs w:val="24"/>
        </w:rPr>
        <w:t>u 19 maja 20</w:t>
      </w:r>
      <w:r w:rsidRPr="00A467B6">
        <w:rPr>
          <w:rFonts w:ascii="Times New Roman" w:hAnsi="Times New Roman"/>
          <w:sz w:val="24"/>
          <w:szCs w:val="24"/>
        </w:rPr>
        <w:t>20</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Rada przyjęła rozporządzenie</w:t>
      </w:r>
      <w:r w:rsidR="00A467B6">
        <w:rPr>
          <w:rFonts w:ascii="Times New Roman" w:hAnsi="Times New Roman"/>
          <w:sz w:val="24"/>
          <w:szCs w:val="24"/>
        </w:rPr>
        <w:t xml:space="preserve"> w spr</w:t>
      </w:r>
      <w:r>
        <w:rPr>
          <w:rFonts w:ascii="Times New Roman" w:hAnsi="Times New Roman"/>
          <w:sz w:val="24"/>
          <w:szCs w:val="24"/>
        </w:rPr>
        <w:t>awie SURE</w:t>
      </w:r>
      <w:r>
        <w:rPr>
          <w:rFonts w:ascii="Times New Roman" w:hAnsi="Times New Roman"/>
          <w:sz w:val="24"/>
        </w:rPr>
        <w:t>. Następnie Komisja bezzwłocznie rozpoczęła przygotowywanie niezbędnych działań</w:t>
      </w:r>
      <w:r w:rsidR="00A467B6">
        <w:rPr>
          <w:rFonts w:ascii="Times New Roman" w:hAnsi="Times New Roman"/>
          <w:sz w:val="24"/>
        </w:rPr>
        <w:t xml:space="preserve"> w cel</w:t>
      </w:r>
      <w:r>
        <w:rPr>
          <w:rFonts w:ascii="Times New Roman" w:hAnsi="Times New Roman"/>
          <w:sz w:val="24"/>
        </w:rPr>
        <w:t>u zapewnienia terminowego udostępnienia SURE</w:t>
      </w:r>
      <w:r w:rsidR="00A467B6">
        <w:rPr>
          <w:rFonts w:ascii="Times New Roman" w:hAnsi="Times New Roman"/>
          <w:sz w:val="24"/>
        </w:rPr>
        <w:t xml:space="preserve"> i jeg</w:t>
      </w:r>
      <w:r>
        <w:rPr>
          <w:rFonts w:ascii="Times New Roman" w:hAnsi="Times New Roman"/>
          <w:sz w:val="24"/>
        </w:rPr>
        <w:t>o szybkiego wdrożenia</w:t>
      </w:r>
      <w:r w:rsidR="00A467B6">
        <w:rPr>
          <w:rFonts w:ascii="Times New Roman" w:hAnsi="Times New Roman"/>
          <w:sz w:val="24"/>
        </w:rPr>
        <w:t xml:space="preserve"> w ści</w:t>
      </w:r>
      <w:r>
        <w:rPr>
          <w:rFonts w:ascii="Times New Roman" w:hAnsi="Times New Roman"/>
          <w:sz w:val="24"/>
        </w:rPr>
        <w:t>słej współpracy ze wszystkimi 27 państwami członkowskimi.</w:t>
      </w:r>
    </w:p>
    <w:p w14:paraId="01F53ADD" w14:textId="1D214D97" w:rsidR="009D29AB" w:rsidRPr="009D29AB" w:rsidRDefault="009D29AB" w:rsidP="009D29AB">
      <w:pPr>
        <w:jc w:val="both"/>
        <w:rPr>
          <w:rFonts w:ascii="Times New Roman" w:hAnsi="Times New Roman" w:cs="Times New Roman"/>
          <w:color w:val="000000" w:themeColor="text1"/>
          <w:sz w:val="24"/>
        </w:rPr>
      </w:pPr>
      <w:r>
        <w:rPr>
          <w:rFonts w:ascii="Times New Roman" w:hAnsi="Times New Roman"/>
          <w:b/>
          <w:sz w:val="24"/>
        </w:rPr>
        <w:t>Aby SURE stał się dostępny, państwa członkowskie zgodziły się wnieść dobrowolny wkład do instrumentu poprzez ustanowienie kontrgwarancji</w:t>
      </w:r>
      <w:r w:rsidR="00A467B6">
        <w:rPr>
          <w:rFonts w:ascii="Times New Roman" w:hAnsi="Times New Roman"/>
          <w:b/>
          <w:sz w:val="24"/>
        </w:rPr>
        <w:t xml:space="preserve"> w odn</w:t>
      </w:r>
      <w:r>
        <w:rPr>
          <w:rFonts w:ascii="Times New Roman" w:hAnsi="Times New Roman"/>
          <w:b/>
          <w:sz w:val="24"/>
        </w:rPr>
        <w:t xml:space="preserve">iesieniu do ryzyka ponoszonego przez UE. </w:t>
      </w:r>
      <w:r>
        <w:rPr>
          <w:rFonts w:ascii="Times New Roman" w:hAnsi="Times New Roman"/>
          <w:sz w:val="24"/>
        </w:rPr>
        <w:t>Unia ustanowiła system gwarancji podpisany dobrowolnie przez państwa członkowskie</w:t>
      </w:r>
      <w:r w:rsidR="00A467B6">
        <w:rPr>
          <w:rFonts w:ascii="Times New Roman" w:hAnsi="Times New Roman"/>
          <w:sz w:val="24"/>
        </w:rPr>
        <w:t xml:space="preserve"> i sta</w:t>
      </w:r>
      <w:r>
        <w:rPr>
          <w:rFonts w:ascii="Times New Roman" w:hAnsi="Times New Roman"/>
          <w:sz w:val="24"/>
        </w:rPr>
        <w:t xml:space="preserve">nowiący środek na podstawie </w:t>
      </w:r>
      <w:r w:rsidRPr="00A467B6">
        <w:rPr>
          <w:rFonts w:ascii="Times New Roman" w:hAnsi="Times New Roman"/>
          <w:sz w:val="24"/>
        </w:rPr>
        <w:t>art.</w:t>
      </w:r>
      <w:r w:rsidR="00A467B6" w:rsidRPr="00A467B6">
        <w:rPr>
          <w:rFonts w:ascii="Times New Roman" w:hAnsi="Times New Roman"/>
          <w:sz w:val="24"/>
        </w:rPr>
        <w:t> </w:t>
      </w:r>
      <w:r w:rsidRPr="00A467B6">
        <w:rPr>
          <w:rFonts w:ascii="Times New Roman" w:hAnsi="Times New Roman"/>
          <w:sz w:val="24"/>
        </w:rPr>
        <w:t>1</w:t>
      </w:r>
      <w:r>
        <w:rPr>
          <w:rFonts w:ascii="Times New Roman" w:hAnsi="Times New Roman"/>
          <w:sz w:val="24"/>
        </w:rPr>
        <w:t xml:space="preserve">22 </w:t>
      </w:r>
      <w:r w:rsidRPr="00A467B6">
        <w:rPr>
          <w:rFonts w:ascii="Times New Roman" w:hAnsi="Times New Roman"/>
          <w:sz w:val="24"/>
        </w:rPr>
        <w:t>ust.</w:t>
      </w:r>
      <w:r w:rsidR="00A467B6" w:rsidRPr="00A467B6">
        <w:rPr>
          <w:rFonts w:ascii="Times New Roman" w:hAnsi="Times New Roman"/>
          <w:sz w:val="24"/>
        </w:rPr>
        <w:t> </w:t>
      </w:r>
      <w:r w:rsidRPr="00A467B6">
        <w:rPr>
          <w:rFonts w:ascii="Times New Roman" w:hAnsi="Times New Roman"/>
          <w:sz w:val="24"/>
        </w:rPr>
        <w:t>1</w:t>
      </w:r>
      <w:r>
        <w:rPr>
          <w:rFonts w:ascii="Times New Roman" w:hAnsi="Times New Roman"/>
          <w:sz w:val="24"/>
        </w:rPr>
        <w:t xml:space="preserve"> TFUE</w:t>
      </w:r>
      <w:r w:rsidR="00A467B6">
        <w:rPr>
          <w:rFonts w:ascii="Times New Roman" w:hAnsi="Times New Roman"/>
          <w:sz w:val="24"/>
        </w:rPr>
        <w:t>. W tym</w:t>
      </w:r>
      <w:r>
        <w:rPr>
          <w:rFonts w:ascii="Times New Roman" w:hAnsi="Times New Roman"/>
          <w:sz w:val="24"/>
        </w:rPr>
        <w:t xml:space="preserve"> celu wszystkie 27 państw członkowskich zgodziło się udzielić nieodwołalnej, bezwarunkowej gwarancji uruchamianej na żądanie, pokrywającej 2</w:t>
      </w:r>
      <w:r w:rsidRPr="00A467B6">
        <w:rPr>
          <w:rFonts w:ascii="Times New Roman" w:hAnsi="Times New Roman"/>
          <w:sz w:val="24"/>
        </w:rPr>
        <w:t>5</w:t>
      </w:r>
      <w:r w:rsidR="00A467B6" w:rsidRPr="00A467B6">
        <w:rPr>
          <w:rFonts w:ascii="Times New Roman" w:hAnsi="Times New Roman"/>
          <w:sz w:val="24"/>
        </w:rPr>
        <w:t> </w:t>
      </w:r>
      <w:r w:rsidRPr="00A467B6">
        <w:rPr>
          <w:rFonts w:ascii="Times New Roman" w:hAnsi="Times New Roman"/>
          <w:sz w:val="24"/>
        </w:rPr>
        <w:t>%</w:t>
      </w:r>
      <w:r>
        <w:rPr>
          <w:rFonts w:ascii="Times New Roman" w:hAnsi="Times New Roman"/>
          <w:sz w:val="24"/>
        </w:rPr>
        <w:t xml:space="preserve"> całkowitej puli środków finansowych</w:t>
      </w:r>
      <w:r w:rsidR="00A467B6">
        <w:rPr>
          <w:rFonts w:ascii="Times New Roman" w:hAnsi="Times New Roman"/>
          <w:sz w:val="24"/>
        </w:rPr>
        <w:t xml:space="preserve"> w ram</w:t>
      </w:r>
      <w:r>
        <w:rPr>
          <w:rFonts w:ascii="Times New Roman" w:hAnsi="Times New Roman"/>
          <w:sz w:val="24"/>
        </w:rPr>
        <w:t xml:space="preserve">ach SURE wynoszącej 100 mld EUR, </w:t>
      </w:r>
      <w:r w:rsidRPr="00A467B6">
        <w:rPr>
          <w:rFonts w:ascii="Times New Roman" w:hAnsi="Times New Roman"/>
          <w:sz w:val="24"/>
        </w:rPr>
        <w:t>tj.</w:t>
      </w:r>
      <w:r w:rsidR="00A467B6" w:rsidRPr="00A467B6">
        <w:rPr>
          <w:rFonts w:ascii="Times New Roman" w:hAnsi="Times New Roman"/>
          <w:sz w:val="24"/>
        </w:rPr>
        <w:t> </w:t>
      </w:r>
      <w:r w:rsidRPr="00A467B6">
        <w:rPr>
          <w:rFonts w:ascii="Times New Roman" w:hAnsi="Times New Roman"/>
          <w:sz w:val="24"/>
        </w:rPr>
        <w:t>2</w:t>
      </w:r>
      <w:r>
        <w:rPr>
          <w:rFonts w:ascii="Times New Roman" w:hAnsi="Times New Roman"/>
          <w:sz w:val="24"/>
        </w:rPr>
        <w:t>5 mld EUR</w:t>
      </w:r>
      <w:r>
        <w:rPr>
          <w:rFonts w:ascii="Times New Roman" w:hAnsi="Times New Roman" w:cs="Times New Roman"/>
          <w:sz w:val="24"/>
          <w:vertAlign w:val="superscript"/>
          <w:lang w:val="en-GB"/>
        </w:rPr>
        <w:footnoteReference w:id="7"/>
      </w:r>
      <w:r w:rsidR="00A467B6">
        <w:rPr>
          <w:rFonts w:ascii="Times New Roman" w:hAnsi="Times New Roman"/>
          <w:sz w:val="24"/>
        </w:rPr>
        <w:t>. W zwi</w:t>
      </w:r>
      <w:r>
        <w:rPr>
          <w:rFonts w:ascii="Times New Roman" w:hAnsi="Times New Roman"/>
          <w:sz w:val="24"/>
        </w:rPr>
        <w:t>ązku</w:t>
      </w:r>
      <w:r w:rsidR="00A467B6">
        <w:rPr>
          <w:rFonts w:ascii="Times New Roman" w:hAnsi="Times New Roman"/>
          <w:sz w:val="24"/>
        </w:rPr>
        <w:t xml:space="preserve"> z tym</w:t>
      </w:r>
      <w:r>
        <w:rPr>
          <w:rFonts w:ascii="Times New Roman" w:hAnsi="Times New Roman"/>
          <w:sz w:val="24"/>
        </w:rPr>
        <w:t xml:space="preserve"> SURE nie mógł zostać udostępniony do czasu zawarcia</w:t>
      </w:r>
      <w:r w:rsidR="00A467B6">
        <w:rPr>
          <w:rFonts w:ascii="Times New Roman" w:hAnsi="Times New Roman"/>
          <w:sz w:val="24"/>
        </w:rPr>
        <w:t xml:space="preserve"> i pod</w:t>
      </w:r>
      <w:r>
        <w:rPr>
          <w:rFonts w:ascii="Times New Roman" w:hAnsi="Times New Roman"/>
          <w:sz w:val="24"/>
        </w:rPr>
        <w:t>pisania przez wszystkie 27 państw członkowskich umów</w:t>
      </w:r>
      <w:r w:rsidR="00A467B6">
        <w:rPr>
          <w:rFonts w:ascii="Times New Roman" w:hAnsi="Times New Roman"/>
          <w:sz w:val="24"/>
        </w:rPr>
        <w:t xml:space="preserve"> w spr</w:t>
      </w:r>
      <w:r>
        <w:rPr>
          <w:rFonts w:ascii="Times New Roman" w:hAnsi="Times New Roman"/>
          <w:sz w:val="24"/>
        </w:rPr>
        <w:t>awie gwarancji</w:t>
      </w:r>
      <w:r w:rsidR="00A467B6">
        <w:rPr>
          <w:rFonts w:ascii="Times New Roman" w:hAnsi="Times New Roman"/>
          <w:sz w:val="24"/>
        </w:rPr>
        <w:t xml:space="preserve"> z Kom</w:t>
      </w:r>
      <w:r>
        <w:rPr>
          <w:rFonts w:ascii="Times New Roman" w:hAnsi="Times New Roman"/>
          <w:sz w:val="24"/>
        </w:rPr>
        <w:t>isją na zasadzie dwustronnej. Udział każdego państwa członkowskiego</w:t>
      </w:r>
      <w:r w:rsidR="00A467B6">
        <w:rPr>
          <w:rFonts w:ascii="Times New Roman" w:hAnsi="Times New Roman"/>
          <w:sz w:val="24"/>
        </w:rPr>
        <w:t xml:space="preserve"> w ogó</w:t>
      </w:r>
      <w:r>
        <w:rPr>
          <w:rFonts w:ascii="Times New Roman" w:hAnsi="Times New Roman"/>
          <w:sz w:val="24"/>
        </w:rPr>
        <w:t>lnej kwocie gwarancji odpowiada udziałowi każdego państwa członkowskiego</w:t>
      </w:r>
      <w:r w:rsidR="00A467B6">
        <w:rPr>
          <w:rFonts w:ascii="Times New Roman" w:hAnsi="Times New Roman"/>
          <w:sz w:val="24"/>
        </w:rPr>
        <w:t xml:space="preserve"> w doc</w:t>
      </w:r>
      <w:r>
        <w:rPr>
          <w:rFonts w:ascii="Times New Roman" w:hAnsi="Times New Roman"/>
          <w:sz w:val="24"/>
        </w:rPr>
        <w:t>hodzie narodowym brutto UE zgodnie</w:t>
      </w:r>
      <w:r w:rsidR="00A467B6">
        <w:rPr>
          <w:rFonts w:ascii="Times New Roman" w:hAnsi="Times New Roman"/>
          <w:sz w:val="24"/>
        </w:rPr>
        <w:t xml:space="preserve"> z czę</w:t>
      </w:r>
      <w:r>
        <w:rPr>
          <w:rFonts w:ascii="Times New Roman" w:hAnsi="Times New Roman"/>
          <w:sz w:val="24"/>
        </w:rPr>
        <w:t xml:space="preserve">ścią budżetu UE dotyczącą dochodów </w:t>
      </w:r>
      <w:r w:rsidRPr="00A467B6">
        <w:rPr>
          <w:rFonts w:ascii="Times New Roman" w:hAnsi="Times New Roman"/>
          <w:sz w:val="24"/>
        </w:rPr>
        <w:t>na</w:t>
      </w:r>
      <w:r w:rsidR="00A467B6" w:rsidRPr="00A467B6">
        <w:rPr>
          <w:rFonts w:ascii="Times New Roman" w:hAnsi="Times New Roman"/>
          <w:sz w:val="24"/>
        </w:rPr>
        <w:t> </w:t>
      </w:r>
      <w:r w:rsidRPr="00A467B6">
        <w:rPr>
          <w:rFonts w:ascii="Times New Roman" w:hAnsi="Times New Roman"/>
          <w:sz w:val="24"/>
        </w:rPr>
        <w:t>2</w:t>
      </w:r>
      <w:r>
        <w:rPr>
          <w:rFonts w:ascii="Times New Roman" w:hAnsi="Times New Roman"/>
          <w:sz w:val="24"/>
        </w:rPr>
        <w:t>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w:t>
      </w:r>
      <w:r>
        <w:rPr>
          <w:rFonts w:ascii="Times New Roman" w:hAnsi="Times New Roman"/>
          <w:color w:val="000000" w:themeColor="text1"/>
          <w:sz w:val="24"/>
        </w:rPr>
        <w:t>Wykorzystanie gwarancji pozwoliło na utworzenie SURE bez konieczności wcześniejszego wnoszenia przez państwa członkowskie jakichkolwiek wkładów pieniężnych lub wpłat kapitału.</w:t>
      </w:r>
    </w:p>
    <w:p w14:paraId="37DFCFE8" w14:textId="1A2C6C06" w:rsidR="009D29AB" w:rsidRPr="009D29AB" w:rsidRDefault="009D29AB" w:rsidP="009D29AB">
      <w:pPr>
        <w:jc w:val="both"/>
        <w:rPr>
          <w:rFonts w:ascii="Times New Roman" w:hAnsi="Times New Roman" w:cs="Times New Roman"/>
          <w:sz w:val="24"/>
        </w:rPr>
      </w:pPr>
      <w:r>
        <w:rPr>
          <w:rFonts w:ascii="Times New Roman" w:hAnsi="Times New Roman"/>
          <w:b/>
          <w:sz w:val="24"/>
        </w:rPr>
        <w:t>Ustanowienie systemu gwarancji udzielanych dobrowolnie przez wszystkie państwa członkowskie UE jest zdecydowanym wyrazem solidarności między państwami członkowskimi</w:t>
      </w:r>
      <w:r w:rsidR="00A467B6">
        <w:rPr>
          <w:rFonts w:ascii="Times New Roman" w:hAnsi="Times New Roman"/>
          <w:b/>
          <w:sz w:val="24"/>
        </w:rPr>
        <w:t xml:space="preserve"> w ram</w:t>
      </w:r>
      <w:r>
        <w:rPr>
          <w:rFonts w:ascii="Times New Roman" w:hAnsi="Times New Roman"/>
          <w:b/>
          <w:sz w:val="24"/>
        </w:rPr>
        <w:t>ach UE.</w:t>
      </w:r>
      <w:r>
        <w:rPr>
          <w:rFonts w:ascii="Times New Roman" w:hAnsi="Times New Roman"/>
          <w:sz w:val="24"/>
        </w:rPr>
        <w:t xml:space="preserve"> Umożliwił on UE przyznanie państwom członkowskim pomocy finansowej</w:t>
      </w:r>
      <w:r w:rsidR="00A467B6">
        <w:rPr>
          <w:rFonts w:ascii="Times New Roman" w:hAnsi="Times New Roman"/>
          <w:sz w:val="24"/>
        </w:rPr>
        <w:t xml:space="preserve"> w wys</w:t>
      </w:r>
      <w:r>
        <w:rPr>
          <w:rFonts w:ascii="Times New Roman" w:hAnsi="Times New Roman"/>
          <w:sz w:val="24"/>
        </w:rPr>
        <w:t>tarczającej wysokości</w:t>
      </w:r>
      <w:r w:rsidR="00A467B6">
        <w:rPr>
          <w:rFonts w:ascii="Times New Roman" w:hAnsi="Times New Roman"/>
          <w:sz w:val="24"/>
        </w:rPr>
        <w:t xml:space="preserve"> w cel</w:t>
      </w:r>
      <w:r>
        <w:rPr>
          <w:rFonts w:ascii="Times New Roman" w:hAnsi="Times New Roman"/>
          <w:sz w:val="24"/>
        </w:rPr>
        <w:t>u ochrony miejsc pracy</w:t>
      </w:r>
      <w:r w:rsidR="00A467B6">
        <w:rPr>
          <w:rFonts w:ascii="Times New Roman" w:hAnsi="Times New Roman"/>
          <w:sz w:val="24"/>
        </w:rPr>
        <w:t xml:space="preserve"> i doc</w:t>
      </w:r>
      <w:r>
        <w:rPr>
          <w:rFonts w:ascii="Times New Roman" w:hAnsi="Times New Roman"/>
          <w:sz w:val="24"/>
        </w:rPr>
        <w:t>hodów</w:t>
      </w:r>
      <w:r w:rsidR="00A467B6">
        <w:rPr>
          <w:rFonts w:ascii="Times New Roman" w:hAnsi="Times New Roman"/>
          <w:sz w:val="24"/>
        </w:rPr>
        <w:t xml:space="preserve"> w cza</w:t>
      </w:r>
      <w:r>
        <w:rPr>
          <w:rFonts w:ascii="Times New Roman" w:hAnsi="Times New Roman"/>
          <w:sz w:val="24"/>
        </w:rPr>
        <w:t>sie kryzysu związanego z COVID-19. Krajowe procedury zatwierdzania</w:t>
      </w:r>
      <w:r w:rsidR="00A467B6">
        <w:rPr>
          <w:rFonts w:ascii="Times New Roman" w:hAnsi="Times New Roman"/>
          <w:sz w:val="24"/>
        </w:rPr>
        <w:t xml:space="preserve"> w 2</w:t>
      </w:r>
      <w:r>
        <w:rPr>
          <w:rFonts w:ascii="Times New Roman" w:hAnsi="Times New Roman"/>
          <w:sz w:val="24"/>
        </w:rPr>
        <w:t>7 państwach członkowskich zakończono latem 20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sidR="00A467B6" w:rsidRPr="00A467B6">
        <w:rPr>
          <w:rFonts w:ascii="Times New Roman" w:hAnsi="Times New Roman"/>
          <w:sz w:val="24"/>
        </w:rPr>
        <w:t>.</w:t>
      </w:r>
      <w:r w:rsidR="00A467B6">
        <w:rPr>
          <w:rFonts w:ascii="Times New Roman" w:hAnsi="Times New Roman"/>
          <w:sz w:val="24"/>
        </w:rPr>
        <w:t xml:space="preserve"> W zwi</w:t>
      </w:r>
      <w:r>
        <w:rPr>
          <w:rFonts w:ascii="Times New Roman" w:hAnsi="Times New Roman"/>
          <w:sz w:val="24"/>
        </w:rPr>
        <w:t>ązku</w:t>
      </w:r>
      <w:r w:rsidR="00A467B6">
        <w:rPr>
          <w:rFonts w:ascii="Times New Roman" w:hAnsi="Times New Roman"/>
          <w:sz w:val="24"/>
        </w:rPr>
        <w:t xml:space="preserve"> z pow</w:t>
      </w:r>
      <w:r>
        <w:rPr>
          <w:rFonts w:ascii="Times New Roman" w:hAnsi="Times New Roman"/>
          <w:sz w:val="24"/>
        </w:rPr>
        <w:t>yższym SURE stał się dostępny</w:t>
      </w:r>
      <w:r w:rsidR="00A467B6">
        <w:rPr>
          <w:rFonts w:ascii="Times New Roman" w:hAnsi="Times New Roman"/>
          <w:sz w:val="24"/>
        </w:rPr>
        <w:t xml:space="preserve"> w dni</w:t>
      </w:r>
      <w:r>
        <w:rPr>
          <w:rFonts w:ascii="Times New Roman" w:hAnsi="Times New Roman"/>
          <w:sz w:val="24"/>
        </w:rPr>
        <w:t>u 22 września 20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w:t>
      </w:r>
    </w:p>
    <w:p w14:paraId="2037C3CA" w14:textId="7131EC84"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W rozporządzeniu</w:t>
      </w:r>
      <w:r w:rsidR="00A467B6">
        <w:rPr>
          <w:rFonts w:ascii="Times New Roman" w:hAnsi="Times New Roman"/>
          <w:b/>
          <w:sz w:val="24"/>
        </w:rPr>
        <w:t xml:space="preserve"> w spr</w:t>
      </w:r>
      <w:r>
        <w:rPr>
          <w:rFonts w:ascii="Times New Roman" w:hAnsi="Times New Roman"/>
          <w:b/>
          <w:sz w:val="24"/>
        </w:rPr>
        <w:t>awie SURE określono warunki</w:t>
      </w:r>
      <w:r w:rsidR="00A467B6">
        <w:rPr>
          <w:rFonts w:ascii="Times New Roman" w:hAnsi="Times New Roman"/>
          <w:b/>
          <w:sz w:val="24"/>
        </w:rPr>
        <w:t xml:space="preserve"> i pro</w:t>
      </w:r>
      <w:r>
        <w:rPr>
          <w:rFonts w:ascii="Times New Roman" w:hAnsi="Times New Roman"/>
          <w:b/>
          <w:sz w:val="24"/>
        </w:rPr>
        <w:t>cedurę ubiegania się przez państwa członkowskie</w:t>
      </w:r>
      <w:r w:rsidR="00A467B6">
        <w:rPr>
          <w:rFonts w:ascii="Times New Roman" w:hAnsi="Times New Roman"/>
          <w:b/>
          <w:sz w:val="24"/>
        </w:rPr>
        <w:t xml:space="preserve"> o pom</w:t>
      </w:r>
      <w:r>
        <w:rPr>
          <w:rFonts w:ascii="Times New Roman" w:hAnsi="Times New Roman"/>
          <w:b/>
          <w:sz w:val="24"/>
        </w:rPr>
        <w:t>oc finansową</w:t>
      </w:r>
      <w:r w:rsidR="00A467B6">
        <w:rPr>
          <w:rFonts w:ascii="Times New Roman" w:hAnsi="Times New Roman"/>
          <w:b/>
          <w:sz w:val="24"/>
        </w:rPr>
        <w:t xml:space="preserve"> w ram</w:t>
      </w:r>
      <w:r>
        <w:rPr>
          <w:rFonts w:ascii="Times New Roman" w:hAnsi="Times New Roman"/>
          <w:b/>
          <w:sz w:val="24"/>
        </w:rPr>
        <w:t>ach tego instrumentu.</w:t>
      </w:r>
      <w:r>
        <w:rPr>
          <w:rFonts w:ascii="Times New Roman" w:hAnsi="Times New Roman"/>
          <w:sz w:val="24"/>
        </w:rPr>
        <w:t xml:space="preserve"> Państwa członkowskie mogą zwrócić się</w:t>
      </w:r>
      <w:r w:rsidR="00A467B6">
        <w:rPr>
          <w:rFonts w:ascii="Times New Roman" w:hAnsi="Times New Roman"/>
          <w:sz w:val="24"/>
        </w:rPr>
        <w:t xml:space="preserve"> z wni</w:t>
      </w:r>
      <w:r>
        <w:rPr>
          <w:rFonts w:ascii="Times New Roman" w:hAnsi="Times New Roman"/>
          <w:sz w:val="24"/>
        </w:rPr>
        <w:t>oskiem</w:t>
      </w:r>
      <w:r w:rsidR="00A467B6">
        <w:rPr>
          <w:rFonts w:ascii="Times New Roman" w:hAnsi="Times New Roman"/>
          <w:sz w:val="24"/>
        </w:rPr>
        <w:t xml:space="preserve"> o wsp</w:t>
      </w:r>
      <w:r>
        <w:rPr>
          <w:rFonts w:ascii="Times New Roman" w:hAnsi="Times New Roman"/>
          <w:sz w:val="24"/>
        </w:rPr>
        <w:t>arcie finansowe, jeśli ich faktyczne lub planowane wydatki publiczne uległy nagłemu</w:t>
      </w:r>
      <w:r w:rsidR="00A467B6">
        <w:rPr>
          <w:rFonts w:ascii="Times New Roman" w:hAnsi="Times New Roman"/>
          <w:sz w:val="24"/>
        </w:rPr>
        <w:t xml:space="preserve"> i zna</w:t>
      </w:r>
      <w:r>
        <w:rPr>
          <w:rFonts w:ascii="Times New Roman" w:hAnsi="Times New Roman"/>
          <w:sz w:val="24"/>
        </w:rPr>
        <w:t>cznemu wzrostowi od dnia 1 lutego 20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sidR="00A467B6">
        <w:rPr>
          <w:rFonts w:ascii="Times New Roman" w:hAnsi="Times New Roman"/>
          <w:sz w:val="24"/>
        </w:rPr>
        <w:t xml:space="preserve"> w zwi</w:t>
      </w:r>
      <w:r>
        <w:rPr>
          <w:rFonts w:ascii="Times New Roman" w:hAnsi="Times New Roman"/>
          <w:sz w:val="24"/>
        </w:rPr>
        <w:t>ązku</w:t>
      </w:r>
      <w:r w:rsidR="00A467B6">
        <w:rPr>
          <w:rFonts w:ascii="Times New Roman" w:hAnsi="Times New Roman"/>
          <w:sz w:val="24"/>
        </w:rPr>
        <w:t xml:space="preserve"> z wpr</w:t>
      </w:r>
      <w:r>
        <w:rPr>
          <w:rFonts w:ascii="Times New Roman" w:hAnsi="Times New Roman"/>
          <w:sz w:val="24"/>
        </w:rPr>
        <w:t>owadzeniem mechanizmów zmniejszonego wymiaru czasu pracy</w:t>
      </w:r>
      <w:r w:rsidR="00A467B6">
        <w:rPr>
          <w:rFonts w:ascii="Times New Roman" w:hAnsi="Times New Roman"/>
          <w:sz w:val="24"/>
        </w:rPr>
        <w:t xml:space="preserve"> i pod</w:t>
      </w:r>
      <w:r>
        <w:rPr>
          <w:rFonts w:ascii="Times New Roman" w:hAnsi="Times New Roman"/>
          <w:sz w:val="24"/>
        </w:rPr>
        <w:t>obnych środków przyjętych</w:t>
      </w:r>
      <w:r w:rsidR="00A467B6">
        <w:rPr>
          <w:rFonts w:ascii="Times New Roman" w:hAnsi="Times New Roman"/>
          <w:sz w:val="24"/>
        </w:rPr>
        <w:t xml:space="preserve"> w cel</w:t>
      </w:r>
      <w:r>
        <w:rPr>
          <w:rFonts w:ascii="Times New Roman" w:hAnsi="Times New Roman"/>
          <w:sz w:val="24"/>
        </w:rPr>
        <w:t>u sprostania skutkom społeczno-gospodarczym pandemii COVID-19</w:t>
      </w:r>
      <w:r>
        <w:rPr>
          <w:rFonts w:ascii="Times New Roman" w:hAnsi="Times New Roman" w:cs="Times New Roman"/>
          <w:sz w:val="24"/>
          <w:vertAlign w:val="superscript"/>
          <w:lang w:val="en-GB"/>
        </w:rPr>
        <w:footnoteReference w:id="8"/>
      </w:r>
      <w:r>
        <w:rPr>
          <w:rFonts w:ascii="Times New Roman" w:hAnsi="Times New Roman"/>
          <w:sz w:val="24"/>
        </w:rPr>
        <w:t xml:space="preserve">. </w:t>
      </w:r>
      <w:r>
        <w:rPr>
          <w:rFonts w:ascii="Times New Roman" w:hAnsi="Times New Roman"/>
          <w:sz w:val="24"/>
          <w:szCs w:val="24"/>
        </w:rPr>
        <w:t>Na podstawie wniosku Komisji Rada może przyznać pomoc finansową</w:t>
      </w:r>
      <w:r w:rsidR="00A467B6">
        <w:rPr>
          <w:rFonts w:ascii="Times New Roman" w:hAnsi="Times New Roman"/>
          <w:sz w:val="24"/>
          <w:szCs w:val="24"/>
        </w:rPr>
        <w:t xml:space="preserve"> w ram</w:t>
      </w:r>
      <w:r>
        <w:rPr>
          <w:rFonts w:ascii="Times New Roman" w:hAnsi="Times New Roman"/>
          <w:sz w:val="24"/>
          <w:szCs w:val="24"/>
        </w:rPr>
        <w:t>ach SURE</w:t>
      </w:r>
      <w:r w:rsidR="00A467B6">
        <w:rPr>
          <w:rFonts w:ascii="Times New Roman" w:hAnsi="Times New Roman"/>
          <w:sz w:val="24"/>
          <w:szCs w:val="24"/>
        </w:rPr>
        <w:t xml:space="preserve"> w dro</w:t>
      </w:r>
      <w:r>
        <w:rPr>
          <w:rFonts w:ascii="Times New Roman" w:hAnsi="Times New Roman"/>
          <w:sz w:val="24"/>
          <w:szCs w:val="24"/>
        </w:rPr>
        <w:t>dze decyzji wykonawczej Rady</w:t>
      </w:r>
      <w:r>
        <w:rPr>
          <w:rFonts w:ascii="Times New Roman" w:hAnsi="Times New Roman" w:cs="Times New Roman"/>
          <w:sz w:val="24"/>
          <w:vertAlign w:val="superscript"/>
          <w:lang w:val="en-GB"/>
        </w:rPr>
        <w:footnoteReference w:id="9"/>
      </w:r>
      <w:r>
        <w:rPr>
          <w:rFonts w:ascii="Times New Roman" w:hAnsi="Times New Roman"/>
          <w:sz w:val="24"/>
        </w:rPr>
        <w:t>. Okres dostępności, podczas którego można udzielać pomocy finansowej</w:t>
      </w:r>
      <w:r w:rsidR="00A467B6">
        <w:rPr>
          <w:rFonts w:ascii="Times New Roman" w:hAnsi="Times New Roman"/>
          <w:sz w:val="24"/>
        </w:rPr>
        <w:t xml:space="preserve"> w ram</w:t>
      </w:r>
      <w:r>
        <w:rPr>
          <w:rFonts w:ascii="Times New Roman" w:hAnsi="Times New Roman"/>
          <w:sz w:val="24"/>
        </w:rPr>
        <w:t>ach SURE, kończy się</w:t>
      </w:r>
      <w:r w:rsidR="00A467B6">
        <w:rPr>
          <w:rFonts w:ascii="Times New Roman" w:hAnsi="Times New Roman"/>
          <w:sz w:val="24"/>
        </w:rPr>
        <w:t xml:space="preserve"> w dni</w:t>
      </w:r>
      <w:r>
        <w:rPr>
          <w:rFonts w:ascii="Times New Roman" w:hAnsi="Times New Roman"/>
          <w:sz w:val="24"/>
        </w:rPr>
        <w:t>u 31 grudnia 20</w:t>
      </w:r>
      <w:r w:rsidRPr="00A467B6">
        <w:rPr>
          <w:rFonts w:ascii="Times New Roman" w:hAnsi="Times New Roman"/>
          <w:sz w:val="24"/>
        </w:rPr>
        <w:t>22</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cs="Times New Roman"/>
          <w:sz w:val="24"/>
          <w:vertAlign w:val="superscript"/>
          <w:lang w:val="en-GB"/>
        </w:rPr>
        <w:footnoteReference w:id="10"/>
      </w:r>
    </w:p>
    <w:p w14:paraId="165ED1F6" w14:textId="32608402" w:rsidR="009D29AB" w:rsidRPr="009D29AB" w:rsidRDefault="009D29AB" w:rsidP="009D29AB">
      <w:pPr>
        <w:spacing w:before="120" w:after="120"/>
        <w:jc w:val="both"/>
        <w:rPr>
          <w:rFonts w:ascii="Times New Roman" w:hAnsi="Times New Roman" w:cs="Times New Roman"/>
          <w:sz w:val="24"/>
        </w:rPr>
      </w:pPr>
      <w:r>
        <w:rPr>
          <w:rFonts w:ascii="Times New Roman" w:hAnsi="Times New Roman"/>
          <w:b/>
          <w:color w:val="000000" w:themeColor="text1"/>
          <w:sz w:val="24"/>
        </w:rPr>
        <w:t xml:space="preserve">Komisja przystąpiła do wdrażania SURE niezwłocznie po zatwierdzeniu rozporządzenia przez Radę. </w:t>
      </w:r>
      <w:r>
        <w:rPr>
          <w:rFonts w:ascii="Times New Roman" w:hAnsi="Times New Roman"/>
          <w:color w:val="000000" w:themeColor="text1"/>
          <w:sz w:val="24"/>
        </w:rPr>
        <w:t>Nawiązała ona kontakt ze wszystkimi 27 państwami członkowskimi bezzwłocznie po przyjęciu rozporządzenia</w:t>
      </w:r>
      <w:r w:rsidR="00A467B6">
        <w:rPr>
          <w:rFonts w:ascii="Times New Roman" w:hAnsi="Times New Roman"/>
          <w:color w:val="000000" w:themeColor="text1"/>
          <w:sz w:val="24"/>
        </w:rPr>
        <w:t xml:space="preserve"> w spr</w:t>
      </w:r>
      <w:r>
        <w:rPr>
          <w:rFonts w:ascii="Times New Roman" w:hAnsi="Times New Roman"/>
          <w:color w:val="000000" w:themeColor="text1"/>
          <w:sz w:val="24"/>
        </w:rPr>
        <w:t>awie SURE</w:t>
      </w:r>
      <w:r w:rsidR="00A467B6">
        <w:rPr>
          <w:rFonts w:ascii="Times New Roman" w:hAnsi="Times New Roman"/>
          <w:color w:val="000000" w:themeColor="text1"/>
          <w:sz w:val="24"/>
        </w:rPr>
        <w:t xml:space="preserve"> w maj</w:t>
      </w:r>
      <w:r>
        <w:rPr>
          <w:rFonts w:ascii="Times New Roman" w:hAnsi="Times New Roman"/>
          <w:color w:val="000000" w:themeColor="text1"/>
          <w:sz w:val="24"/>
        </w:rPr>
        <w:t>u 20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Zapytała, czy państwa członkowskie wystąpią</w:t>
      </w:r>
      <w:r w:rsidR="00A467B6">
        <w:rPr>
          <w:rFonts w:ascii="Times New Roman" w:hAnsi="Times New Roman"/>
          <w:color w:val="000000" w:themeColor="text1"/>
          <w:sz w:val="24"/>
        </w:rPr>
        <w:t xml:space="preserve"> o pom</w:t>
      </w:r>
      <w:r>
        <w:rPr>
          <w:rFonts w:ascii="Times New Roman" w:hAnsi="Times New Roman"/>
          <w:color w:val="000000" w:themeColor="text1"/>
          <w:sz w:val="24"/>
        </w:rPr>
        <w:t>oc finansową</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SURE,</w:t>
      </w:r>
      <w:r w:rsidR="00A467B6">
        <w:rPr>
          <w:rFonts w:ascii="Times New Roman" w:hAnsi="Times New Roman"/>
          <w:color w:val="000000" w:themeColor="text1"/>
          <w:sz w:val="24"/>
        </w:rPr>
        <w:t xml:space="preserve"> z myś</w:t>
      </w:r>
      <w:r>
        <w:rPr>
          <w:rFonts w:ascii="Times New Roman" w:hAnsi="Times New Roman"/>
          <w:color w:val="000000" w:themeColor="text1"/>
          <w:sz w:val="24"/>
        </w:rPr>
        <w:t>lą</w:t>
      </w:r>
      <w:r w:rsidR="00A467B6">
        <w:rPr>
          <w:rFonts w:ascii="Times New Roman" w:hAnsi="Times New Roman"/>
          <w:color w:val="000000" w:themeColor="text1"/>
          <w:sz w:val="24"/>
        </w:rPr>
        <w:t xml:space="preserve"> o jak</w:t>
      </w:r>
      <w:r>
        <w:rPr>
          <w:rFonts w:ascii="Times New Roman" w:hAnsi="Times New Roman"/>
          <w:color w:val="000000" w:themeColor="text1"/>
          <w:sz w:val="24"/>
        </w:rPr>
        <w:t xml:space="preserve"> najszybszym zaplanowaniu</w:t>
      </w:r>
      <w:r w:rsidR="00A467B6">
        <w:rPr>
          <w:rFonts w:ascii="Times New Roman" w:hAnsi="Times New Roman"/>
          <w:color w:val="000000" w:themeColor="text1"/>
          <w:sz w:val="24"/>
        </w:rPr>
        <w:t xml:space="preserve"> i prz</w:t>
      </w:r>
      <w:r>
        <w:rPr>
          <w:rFonts w:ascii="Times New Roman" w:hAnsi="Times New Roman"/>
          <w:color w:val="000000" w:themeColor="text1"/>
          <w:sz w:val="24"/>
        </w:rPr>
        <w:t>ygotowaniu wdrożenia tego instrumentu, gdy stanie się on dostępny po podpisaniu gwarancji dwustronnych.</w:t>
      </w:r>
      <w:r>
        <w:rPr>
          <w:rFonts w:ascii="Times New Roman" w:hAnsi="Times New Roman"/>
          <w:b/>
          <w:color w:val="000000" w:themeColor="text1"/>
          <w:sz w:val="24"/>
        </w:rPr>
        <w:t xml:space="preserve"> </w:t>
      </w:r>
      <w:r>
        <w:rPr>
          <w:rFonts w:ascii="Times New Roman" w:hAnsi="Times New Roman"/>
          <w:color w:val="000000" w:themeColor="text1"/>
          <w:sz w:val="24"/>
          <w:szCs w:val="24"/>
        </w:rPr>
        <w:t>Po otrzymaniu formalnych wniosków</w:t>
      </w:r>
      <w:r w:rsidR="00A467B6">
        <w:rPr>
          <w:rFonts w:ascii="Times New Roman" w:hAnsi="Times New Roman"/>
          <w:color w:val="000000" w:themeColor="text1"/>
          <w:sz w:val="24"/>
          <w:szCs w:val="24"/>
        </w:rPr>
        <w:t xml:space="preserve"> o wsp</w:t>
      </w:r>
      <w:r>
        <w:rPr>
          <w:rFonts w:ascii="Times New Roman" w:hAnsi="Times New Roman"/>
          <w:color w:val="000000" w:themeColor="text1"/>
          <w:sz w:val="24"/>
          <w:szCs w:val="24"/>
        </w:rPr>
        <w:t xml:space="preserve">arcie </w:t>
      </w:r>
      <w:r>
        <w:rPr>
          <w:rFonts w:ascii="Times New Roman" w:hAnsi="Times New Roman"/>
          <w:color w:val="000000" w:themeColor="text1"/>
          <w:sz w:val="24"/>
        </w:rPr>
        <w:t>Komisja przedstawiła</w:t>
      </w:r>
      <w:r w:rsidR="00A467B6">
        <w:rPr>
          <w:rFonts w:ascii="Times New Roman" w:hAnsi="Times New Roman"/>
          <w:color w:val="000000" w:themeColor="text1"/>
          <w:sz w:val="24"/>
        </w:rPr>
        <w:t xml:space="preserve"> w dni</w:t>
      </w:r>
      <w:r>
        <w:rPr>
          <w:rFonts w:ascii="Times New Roman" w:hAnsi="Times New Roman"/>
          <w:color w:val="000000" w:themeColor="text1"/>
          <w:sz w:val="24"/>
        </w:rPr>
        <w:t>u 24 sierpnia 20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wnioski</w:t>
      </w:r>
      <w:r w:rsidR="00A467B6">
        <w:rPr>
          <w:rFonts w:ascii="Times New Roman" w:hAnsi="Times New Roman"/>
          <w:color w:val="000000" w:themeColor="text1"/>
          <w:sz w:val="24"/>
        </w:rPr>
        <w:t xml:space="preserve"> o prz</w:t>
      </w:r>
      <w:r>
        <w:rPr>
          <w:rFonts w:ascii="Times New Roman" w:hAnsi="Times New Roman"/>
          <w:color w:val="000000" w:themeColor="text1"/>
          <w:sz w:val="24"/>
        </w:rPr>
        <w:t>yznanie pomocy finansowej 15 państwom członkowskim,</w:t>
      </w:r>
      <w:r w:rsidR="00A467B6">
        <w:rPr>
          <w:rFonts w:ascii="Times New Roman" w:hAnsi="Times New Roman"/>
          <w:color w:val="000000" w:themeColor="text1"/>
          <w:sz w:val="24"/>
        </w:rPr>
        <w:t xml:space="preserve"> a nas</w:t>
      </w:r>
      <w:r>
        <w:rPr>
          <w:rFonts w:ascii="Times New Roman" w:hAnsi="Times New Roman"/>
          <w:color w:val="000000" w:themeColor="text1"/>
          <w:sz w:val="24"/>
        </w:rPr>
        <w:t>tępnie kolejny wniosek</w:t>
      </w:r>
      <w:r w:rsidR="00A467B6">
        <w:rPr>
          <w:rFonts w:ascii="Times New Roman" w:hAnsi="Times New Roman"/>
          <w:color w:val="000000" w:themeColor="text1"/>
          <w:sz w:val="24"/>
        </w:rPr>
        <w:t xml:space="preserve"> w dni</w:t>
      </w:r>
      <w:r>
        <w:rPr>
          <w:rFonts w:ascii="Times New Roman" w:hAnsi="Times New Roman"/>
          <w:color w:val="000000" w:themeColor="text1"/>
          <w:sz w:val="24"/>
        </w:rPr>
        <w:t>u 25 sierpnia. Po udostępnieniu SURE</w:t>
      </w:r>
      <w:r w:rsidR="00A467B6">
        <w:rPr>
          <w:rFonts w:ascii="Times New Roman" w:hAnsi="Times New Roman"/>
          <w:color w:val="000000" w:themeColor="text1"/>
          <w:sz w:val="24"/>
        </w:rPr>
        <w:t xml:space="preserve"> w dni</w:t>
      </w:r>
      <w:r>
        <w:rPr>
          <w:rFonts w:ascii="Times New Roman" w:hAnsi="Times New Roman"/>
          <w:color w:val="000000" w:themeColor="text1"/>
          <w:sz w:val="24"/>
        </w:rPr>
        <w:t>u 22 września 20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Rada przyjęła decyzje wykonawcze</w:t>
      </w:r>
      <w:r w:rsidR="00A467B6">
        <w:rPr>
          <w:rFonts w:ascii="Times New Roman" w:hAnsi="Times New Roman"/>
          <w:color w:val="000000" w:themeColor="text1"/>
          <w:sz w:val="24"/>
        </w:rPr>
        <w:t xml:space="preserve"> w cel</w:t>
      </w:r>
      <w:r>
        <w:rPr>
          <w:rFonts w:ascii="Times New Roman" w:hAnsi="Times New Roman"/>
          <w:color w:val="000000" w:themeColor="text1"/>
          <w:sz w:val="24"/>
        </w:rPr>
        <w:t>u przyznania pomocy finansowej wszystkim 16 państwom członkowskim (zob. tabela 1)</w:t>
      </w:r>
      <w:r w:rsidR="00A467B6">
        <w:rPr>
          <w:rFonts w:ascii="Times New Roman" w:hAnsi="Times New Roman"/>
          <w:color w:val="000000" w:themeColor="text1"/>
          <w:sz w:val="24"/>
        </w:rPr>
        <w:t>. W ost</w:t>
      </w:r>
      <w:r>
        <w:rPr>
          <w:rFonts w:ascii="Times New Roman" w:hAnsi="Times New Roman"/>
          <w:color w:val="000000" w:themeColor="text1"/>
          <w:sz w:val="24"/>
        </w:rPr>
        <w:t>atnim kwartale 20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Rada przyjęła dwie dodatkowe decyzje wykonawcze, dzięki czemu</w:t>
      </w:r>
      <w:r w:rsidR="00A467B6">
        <w:rPr>
          <w:rFonts w:ascii="Times New Roman" w:hAnsi="Times New Roman"/>
          <w:color w:val="000000" w:themeColor="text1"/>
          <w:sz w:val="24"/>
        </w:rPr>
        <w:t xml:space="preserve"> z pom</w:t>
      </w:r>
      <w:r>
        <w:rPr>
          <w:rFonts w:ascii="Times New Roman" w:hAnsi="Times New Roman"/>
          <w:color w:val="000000" w:themeColor="text1"/>
          <w:sz w:val="24"/>
        </w:rPr>
        <w:t>ocy</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SURE korzysta obecnie łącznie 18 państw członkowskich. Na początku lutego 20</w:t>
      </w:r>
      <w:r w:rsidRPr="00A467B6">
        <w:rPr>
          <w:rFonts w:ascii="Times New Roman" w:hAnsi="Times New Roman"/>
          <w:color w:val="000000" w:themeColor="text1"/>
          <w:sz w:val="24"/>
        </w:rPr>
        <w:t>21</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kolejne państwo członkowskie złożyło oficjalny wniosek</w:t>
      </w:r>
      <w:r w:rsidR="00A467B6">
        <w:rPr>
          <w:rFonts w:ascii="Times New Roman" w:hAnsi="Times New Roman"/>
          <w:color w:val="000000" w:themeColor="text1"/>
          <w:sz w:val="24"/>
        </w:rPr>
        <w:t xml:space="preserve"> o wsp</w:t>
      </w:r>
      <w:r>
        <w:rPr>
          <w:rFonts w:ascii="Times New Roman" w:hAnsi="Times New Roman"/>
          <w:color w:val="000000" w:themeColor="text1"/>
          <w:sz w:val="24"/>
        </w:rPr>
        <w:t>arcie</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SURE</w:t>
      </w:r>
      <w:r>
        <w:rPr>
          <w:rFonts w:ascii="Times New Roman" w:hAnsi="Times New Roman"/>
          <w:sz w:val="24"/>
        </w:rPr>
        <w:t>,</w:t>
      </w:r>
      <w:r w:rsidR="00A467B6">
        <w:rPr>
          <w:rFonts w:ascii="Times New Roman" w:hAnsi="Times New Roman"/>
          <w:sz w:val="24"/>
        </w:rPr>
        <w:t xml:space="preserve"> a w dni</w:t>
      </w:r>
      <w:r>
        <w:rPr>
          <w:rFonts w:ascii="Times New Roman" w:hAnsi="Times New Roman"/>
          <w:sz w:val="24"/>
        </w:rPr>
        <w:t>u 26 lutego Komisja przedstawiła wniosek</w:t>
      </w:r>
      <w:r w:rsidR="00A467B6">
        <w:rPr>
          <w:rFonts w:ascii="Times New Roman" w:hAnsi="Times New Roman"/>
          <w:sz w:val="24"/>
        </w:rPr>
        <w:t xml:space="preserve"> o udz</w:t>
      </w:r>
      <w:r>
        <w:rPr>
          <w:rFonts w:ascii="Times New Roman" w:hAnsi="Times New Roman"/>
          <w:sz w:val="24"/>
        </w:rPr>
        <w:t>ielenie mu wsparcia. Harmonogram wydarzeń przedstawiono szczegółowo</w:t>
      </w:r>
      <w:r w:rsidR="00A467B6">
        <w:rPr>
          <w:rFonts w:ascii="Times New Roman" w:hAnsi="Times New Roman"/>
          <w:sz w:val="24"/>
        </w:rPr>
        <w:t xml:space="preserve"> w tab</w:t>
      </w:r>
      <w:r>
        <w:rPr>
          <w:rFonts w:ascii="Times New Roman" w:hAnsi="Times New Roman"/>
          <w:sz w:val="24"/>
        </w:rPr>
        <w:t>eli 1.</w:t>
      </w:r>
    </w:p>
    <w:p w14:paraId="4EA978F9" w14:textId="77777777" w:rsidR="009D29AB" w:rsidRPr="009D29AB" w:rsidRDefault="009D29AB" w:rsidP="009D29AB">
      <w:pPr>
        <w:spacing w:before="120" w:after="120"/>
        <w:jc w:val="both"/>
        <w:rPr>
          <w:rFonts w:ascii="Times New Roman" w:hAnsi="Times New Roman" w:cs="Times New Roman"/>
          <w:sz w:val="24"/>
          <w:lang w:val="en-GB"/>
        </w:rPr>
      </w:pPr>
    </w:p>
    <w:p w14:paraId="5692C18C" w14:textId="77777777" w:rsidR="00832B23" w:rsidRDefault="00832B23" w:rsidP="009D29AB">
      <w:pPr>
        <w:spacing w:before="120" w:after="0"/>
        <w:jc w:val="both"/>
        <w:rPr>
          <w:rFonts w:ascii="Times New Roman" w:hAnsi="Times New Roman" w:cs="Times New Roman"/>
          <w:b/>
          <w:sz w:val="24"/>
          <w:lang w:val="en-GB"/>
        </w:rPr>
      </w:pPr>
    </w:p>
    <w:p w14:paraId="5717F093" w14:textId="77777777" w:rsidR="009D29AB" w:rsidRPr="009D29AB" w:rsidRDefault="009D29AB" w:rsidP="009D29AB">
      <w:pPr>
        <w:spacing w:before="120" w:after="0"/>
        <w:jc w:val="both"/>
        <w:rPr>
          <w:rFonts w:ascii="Times New Roman" w:hAnsi="Times New Roman" w:cs="Times New Roman"/>
          <w:b/>
          <w:sz w:val="24"/>
        </w:rPr>
      </w:pPr>
      <w:r>
        <w:rPr>
          <w:rFonts w:ascii="Times New Roman" w:hAnsi="Times New Roman"/>
          <w:b/>
          <w:sz w:val="24"/>
        </w:rPr>
        <w:t>Tabela 1: Harmonogram wdrażania SURE</w:t>
      </w:r>
    </w:p>
    <w:tbl>
      <w:tblPr>
        <w:tblStyle w:val="TableGrid"/>
        <w:tblW w:w="0" w:type="auto"/>
        <w:tblLook w:val="04A0" w:firstRow="1" w:lastRow="0" w:firstColumn="1" w:lastColumn="0" w:noHBand="0" w:noVBand="1"/>
      </w:tblPr>
      <w:tblGrid>
        <w:gridCol w:w="9576"/>
      </w:tblGrid>
      <w:tr w:rsidR="009D29AB" w:rsidRPr="0006795A" w14:paraId="3286EF47" w14:textId="77777777" w:rsidTr="00D61F7B">
        <w:tc>
          <w:tcPr>
            <w:tcW w:w="9576" w:type="dxa"/>
          </w:tcPr>
          <w:p w14:paraId="4C7513A3" w14:textId="7465D727" w:rsidR="009D29AB" w:rsidRPr="009D29AB" w:rsidRDefault="009D29AB" w:rsidP="009D29AB">
            <w:pPr>
              <w:numPr>
                <w:ilvl w:val="0"/>
                <w:numId w:val="24"/>
              </w:numPr>
              <w:shd w:val="clear" w:color="auto" w:fill="FFFFFF"/>
              <w:tabs>
                <w:tab w:val="clear" w:pos="720"/>
                <w:tab w:val="num" w:pos="709"/>
              </w:tabs>
              <w:spacing w:after="60"/>
              <w:ind w:left="426" w:hanging="284"/>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 kwietnia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427F450F" w14:textId="37B8A03D"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Komisja przedstawiła wniosek</w:t>
            </w:r>
            <w:r w:rsidR="00A467B6">
              <w:rPr>
                <w:rFonts w:ascii="Times New Roman" w:hAnsi="Times New Roman"/>
                <w:color w:val="000000" w:themeColor="text1"/>
                <w:sz w:val="20"/>
                <w:szCs w:val="16"/>
              </w:rPr>
              <w:t xml:space="preserve"> w spr</w:t>
            </w:r>
            <w:r>
              <w:rPr>
                <w:rFonts w:ascii="Times New Roman" w:hAnsi="Times New Roman"/>
                <w:color w:val="000000" w:themeColor="text1"/>
                <w:sz w:val="20"/>
                <w:szCs w:val="16"/>
              </w:rPr>
              <w:t>awie utworzenia SURE</w:t>
            </w:r>
          </w:p>
          <w:p w14:paraId="2789190E" w14:textId="3AE2279B"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19 maja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5193084D" w14:textId="69F2F63E"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Rada zatwierdziła wniosek</w:t>
            </w:r>
            <w:r w:rsidR="00A467B6">
              <w:rPr>
                <w:rFonts w:ascii="Times New Roman" w:hAnsi="Times New Roman"/>
                <w:color w:val="000000" w:themeColor="text1"/>
                <w:sz w:val="20"/>
                <w:szCs w:val="16"/>
              </w:rPr>
              <w:t xml:space="preserve"> i prz</w:t>
            </w:r>
            <w:r>
              <w:rPr>
                <w:rFonts w:ascii="Times New Roman" w:hAnsi="Times New Roman"/>
                <w:color w:val="000000" w:themeColor="text1"/>
                <w:sz w:val="20"/>
                <w:szCs w:val="16"/>
              </w:rPr>
              <w:t>yjęła rozporządzenie</w:t>
            </w:r>
            <w:r w:rsidR="00A467B6">
              <w:rPr>
                <w:rFonts w:ascii="Times New Roman" w:hAnsi="Times New Roman"/>
                <w:color w:val="000000" w:themeColor="text1"/>
                <w:sz w:val="20"/>
                <w:szCs w:val="16"/>
              </w:rPr>
              <w:t xml:space="preserve"> w spr</w:t>
            </w:r>
            <w:r>
              <w:rPr>
                <w:rFonts w:ascii="Times New Roman" w:hAnsi="Times New Roman"/>
                <w:color w:val="000000" w:themeColor="text1"/>
                <w:sz w:val="20"/>
                <w:szCs w:val="16"/>
              </w:rPr>
              <w:t>awie SURE</w:t>
            </w:r>
          </w:p>
          <w:p w14:paraId="10B24020" w14:textId="1BD530C0"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24 sierpnia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2152D069" w14:textId="0EA6F6F0" w:rsidR="009D29AB" w:rsidRPr="009D29AB" w:rsidRDefault="009D29AB" w:rsidP="009D29AB">
            <w:pPr>
              <w:shd w:val="clear" w:color="auto" w:fill="FFFFFF"/>
              <w:tabs>
                <w:tab w:val="num" w:pos="426"/>
              </w:tabs>
              <w:spacing w:after="60"/>
              <w:ind w:left="426"/>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Komisja zaproponowała wsparcie finansowe</w:t>
            </w:r>
            <w:r w:rsidR="00A467B6">
              <w:rPr>
                <w:rFonts w:ascii="Times New Roman" w:hAnsi="Times New Roman"/>
                <w:color w:val="000000" w:themeColor="text1"/>
                <w:sz w:val="20"/>
                <w:szCs w:val="16"/>
              </w:rPr>
              <w:t xml:space="preserve"> w wys</w:t>
            </w:r>
            <w:r>
              <w:rPr>
                <w:rFonts w:ascii="Times New Roman" w:hAnsi="Times New Roman"/>
                <w:color w:val="000000" w:themeColor="text1"/>
                <w:sz w:val="20"/>
                <w:szCs w:val="16"/>
              </w:rPr>
              <w:t xml:space="preserve">okości 81,4 mld EUR </w:t>
            </w:r>
            <w:r w:rsidRPr="00A467B6">
              <w:rPr>
                <w:rFonts w:ascii="Times New Roman" w:hAnsi="Times New Roman"/>
                <w:color w:val="000000" w:themeColor="text1"/>
                <w:sz w:val="20"/>
                <w:szCs w:val="16"/>
              </w:rPr>
              <w:t>dla</w:t>
            </w:r>
            <w:r w:rsidR="00A467B6" w:rsidRPr="00A467B6">
              <w:rPr>
                <w:rFonts w:ascii="Times New Roman" w:hAnsi="Times New Roman"/>
                <w:color w:val="000000" w:themeColor="text1"/>
                <w:sz w:val="20"/>
                <w:szCs w:val="16"/>
              </w:rPr>
              <w:t> </w:t>
            </w:r>
            <w:r w:rsidRPr="00A467B6">
              <w:rPr>
                <w:rFonts w:ascii="Times New Roman" w:hAnsi="Times New Roman"/>
                <w:color w:val="000000" w:themeColor="text1"/>
                <w:sz w:val="20"/>
                <w:szCs w:val="16"/>
              </w:rPr>
              <w:t>1</w:t>
            </w:r>
            <w:r>
              <w:rPr>
                <w:rFonts w:ascii="Times New Roman" w:hAnsi="Times New Roman"/>
                <w:color w:val="000000" w:themeColor="text1"/>
                <w:sz w:val="20"/>
                <w:szCs w:val="16"/>
              </w:rPr>
              <w:t>5 państw członkowskich: Belgii, Bułgarii, Czech, Grecji, Hiszpanii, Chorwacji, Włoch, Cypru, Łotwy, Litwy, Malty, Polski, Rumunii, Słowenii</w:t>
            </w:r>
            <w:r w:rsidR="00A467B6">
              <w:rPr>
                <w:rFonts w:ascii="Times New Roman" w:hAnsi="Times New Roman"/>
                <w:color w:val="000000" w:themeColor="text1"/>
                <w:sz w:val="20"/>
                <w:szCs w:val="16"/>
              </w:rPr>
              <w:t xml:space="preserve"> i Sło</w:t>
            </w:r>
            <w:r>
              <w:rPr>
                <w:rFonts w:ascii="Times New Roman" w:hAnsi="Times New Roman"/>
                <w:color w:val="000000" w:themeColor="text1"/>
                <w:sz w:val="20"/>
                <w:szCs w:val="16"/>
              </w:rPr>
              <w:t>wacji</w:t>
            </w:r>
          </w:p>
          <w:p w14:paraId="01121C3F" w14:textId="6685A867"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sierpnia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2ED25708" w14:textId="38BEE708"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Komisja zaproponowała wsparcie finansowe</w:t>
            </w:r>
            <w:r w:rsidR="00A467B6">
              <w:rPr>
                <w:rFonts w:ascii="Times New Roman" w:hAnsi="Times New Roman"/>
                <w:color w:val="000000" w:themeColor="text1"/>
                <w:sz w:val="20"/>
                <w:szCs w:val="16"/>
              </w:rPr>
              <w:t xml:space="preserve"> w wys</w:t>
            </w:r>
            <w:r>
              <w:rPr>
                <w:rFonts w:ascii="Times New Roman" w:hAnsi="Times New Roman"/>
                <w:color w:val="000000" w:themeColor="text1"/>
                <w:sz w:val="20"/>
                <w:szCs w:val="16"/>
              </w:rPr>
              <w:t>okości 5,9 mld EUR dla Portugalii</w:t>
            </w:r>
          </w:p>
          <w:p w14:paraId="5661A5F2" w14:textId="3102DF66"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22 września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7B282AA9" w14:textId="77777777"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SURE stał się dostępny</w:t>
            </w:r>
          </w:p>
          <w:p w14:paraId="4EF99393" w14:textId="1D154B55"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25 września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579F43BF" w14:textId="5FDB8CFC"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Rada podjęła decyzję</w:t>
            </w:r>
            <w:r w:rsidR="00A467B6">
              <w:rPr>
                <w:rFonts w:ascii="Times New Roman" w:hAnsi="Times New Roman"/>
                <w:color w:val="000000" w:themeColor="text1"/>
                <w:sz w:val="20"/>
                <w:szCs w:val="16"/>
              </w:rPr>
              <w:t xml:space="preserve"> o prz</w:t>
            </w:r>
            <w:r>
              <w:rPr>
                <w:rFonts w:ascii="Times New Roman" w:hAnsi="Times New Roman"/>
                <w:color w:val="000000" w:themeColor="text1"/>
                <w:sz w:val="20"/>
                <w:szCs w:val="16"/>
              </w:rPr>
              <w:t>yznaniu wsparcia finansowego 16 państwom członkowskim</w:t>
            </w:r>
          </w:p>
          <w:p w14:paraId="13F6CBF5" w14:textId="3C798E75"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7 października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7DFB3A1C" w14:textId="45B2D84E"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Komisja zaproponowała wsparcie finansowe</w:t>
            </w:r>
            <w:r w:rsidR="00A467B6">
              <w:rPr>
                <w:rFonts w:ascii="Times New Roman" w:hAnsi="Times New Roman"/>
                <w:color w:val="000000" w:themeColor="text1"/>
                <w:sz w:val="20"/>
                <w:szCs w:val="16"/>
              </w:rPr>
              <w:t xml:space="preserve"> w wys</w:t>
            </w:r>
            <w:r>
              <w:rPr>
                <w:rFonts w:ascii="Times New Roman" w:hAnsi="Times New Roman"/>
                <w:color w:val="000000" w:themeColor="text1"/>
                <w:sz w:val="20"/>
                <w:szCs w:val="16"/>
              </w:rPr>
              <w:t>okości 504 mln EUR dla Węgier</w:t>
            </w:r>
          </w:p>
          <w:p w14:paraId="29F148A6" w14:textId="208375D6" w:rsidR="009D29AB" w:rsidRPr="009D29AB" w:rsidRDefault="009D29AB" w:rsidP="009D29AB">
            <w:pPr>
              <w:numPr>
                <w:ilvl w:val="0"/>
                <w:numId w:val="24"/>
              </w:numPr>
              <w:shd w:val="clear" w:color="auto" w:fill="FFFFFF"/>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23 października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287CC12D" w14:textId="59EA0191"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Rada podjęła decyzję</w:t>
            </w:r>
            <w:r w:rsidR="00A467B6">
              <w:rPr>
                <w:rFonts w:ascii="Times New Roman" w:hAnsi="Times New Roman"/>
                <w:color w:val="000000" w:themeColor="text1"/>
                <w:sz w:val="20"/>
                <w:szCs w:val="16"/>
              </w:rPr>
              <w:t xml:space="preserve"> o prz</w:t>
            </w:r>
            <w:r>
              <w:rPr>
                <w:rFonts w:ascii="Times New Roman" w:hAnsi="Times New Roman"/>
                <w:color w:val="000000" w:themeColor="text1"/>
                <w:sz w:val="20"/>
                <w:szCs w:val="16"/>
              </w:rPr>
              <w:t>yznaniu wsparcia finansowego</w:t>
            </w:r>
            <w:r w:rsidR="00A467B6">
              <w:rPr>
                <w:rFonts w:ascii="Times New Roman" w:hAnsi="Times New Roman"/>
                <w:color w:val="000000" w:themeColor="text1"/>
                <w:sz w:val="20"/>
                <w:szCs w:val="16"/>
              </w:rPr>
              <w:t xml:space="preserve"> w wys</w:t>
            </w:r>
            <w:r>
              <w:rPr>
                <w:rFonts w:ascii="Times New Roman" w:hAnsi="Times New Roman"/>
                <w:color w:val="000000" w:themeColor="text1"/>
                <w:sz w:val="20"/>
                <w:szCs w:val="16"/>
              </w:rPr>
              <w:t>okości 504 mln EUR dla Węgier</w:t>
            </w:r>
          </w:p>
          <w:p w14:paraId="550BB004" w14:textId="0184891F"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16 listopada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3C6C6D09" w14:textId="1A020458"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Komisja zaproponowała wsparcie finansowe</w:t>
            </w:r>
            <w:r w:rsidR="00A467B6">
              <w:rPr>
                <w:rFonts w:ascii="Times New Roman" w:hAnsi="Times New Roman"/>
                <w:color w:val="000000" w:themeColor="text1"/>
                <w:sz w:val="20"/>
                <w:szCs w:val="16"/>
              </w:rPr>
              <w:t xml:space="preserve"> w wys</w:t>
            </w:r>
            <w:r>
              <w:rPr>
                <w:rFonts w:ascii="Times New Roman" w:hAnsi="Times New Roman"/>
                <w:color w:val="000000" w:themeColor="text1"/>
                <w:sz w:val="20"/>
                <w:szCs w:val="16"/>
              </w:rPr>
              <w:t>okości 2,5 mld EUR dla Irlandii</w:t>
            </w:r>
          </w:p>
          <w:p w14:paraId="269FB51C" w14:textId="42B5449D"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4 grudnia 20</w:t>
            </w:r>
            <w:r w:rsidRPr="00A467B6">
              <w:rPr>
                <w:rFonts w:ascii="Times New Roman" w:hAnsi="Times New Roman"/>
                <w:b/>
                <w:bCs/>
                <w:color w:val="000000" w:themeColor="text1"/>
                <w:sz w:val="20"/>
                <w:szCs w:val="16"/>
              </w:rPr>
              <w:t>20</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57F3A78C" w14:textId="48295F52"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0000" w:themeColor="text1"/>
                <w:sz w:val="20"/>
                <w:szCs w:val="16"/>
              </w:rPr>
            </w:pPr>
            <w:r>
              <w:rPr>
                <w:rFonts w:ascii="Times New Roman" w:hAnsi="Times New Roman"/>
                <w:color w:val="000000" w:themeColor="text1"/>
                <w:sz w:val="20"/>
                <w:szCs w:val="16"/>
              </w:rPr>
              <w:t>Rada podjęła decyzję</w:t>
            </w:r>
            <w:r w:rsidR="00A467B6">
              <w:rPr>
                <w:rFonts w:ascii="Times New Roman" w:hAnsi="Times New Roman"/>
                <w:color w:val="000000" w:themeColor="text1"/>
                <w:sz w:val="20"/>
                <w:szCs w:val="16"/>
              </w:rPr>
              <w:t xml:space="preserve"> o prz</w:t>
            </w:r>
            <w:r>
              <w:rPr>
                <w:rFonts w:ascii="Times New Roman" w:hAnsi="Times New Roman"/>
                <w:color w:val="000000" w:themeColor="text1"/>
                <w:sz w:val="20"/>
                <w:szCs w:val="16"/>
              </w:rPr>
              <w:t>yznaniu wsparcia finansowego</w:t>
            </w:r>
            <w:r w:rsidR="00A467B6">
              <w:rPr>
                <w:rFonts w:ascii="Times New Roman" w:hAnsi="Times New Roman"/>
                <w:color w:val="000000" w:themeColor="text1"/>
                <w:sz w:val="20"/>
                <w:szCs w:val="16"/>
              </w:rPr>
              <w:t xml:space="preserve"> w wys</w:t>
            </w:r>
            <w:r>
              <w:rPr>
                <w:rFonts w:ascii="Times New Roman" w:hAnsi="Times New Roman"/>
                <w:color w:val="000000" w:themeColor="text1"/>
                <w:sz w:val="20"/>
                <w:szCs w:val="16"/>
              </w:rPr>
              <w:t>okości 2,5 mld EUR dla Irlandii</w:t>
            </w:r>
          </w:p>
          <w:p w14:paraId="396F7E6D" w14:textId="4B00E002" w:rsidR="009D29AB" w:rsidRPr="009D29AB" w:rsidRDefault="009D29AB" w:rsidP="009D29AB">
            <w:pPr>
              <w:numPr>
                <w:ilvl w:val="0"/>
                <w:numId w:val="24"/>
              </w:numPr>
              <w:shd w:val="clear" w:color="auto" w:fill="FFFFFF"/>
              <w:tabs>
                <w:tab w:val="clear" w:pos="720"/>
                <w:tab w:val="num" w:pos="709"/>
              </w:tabs>
              <w:spacing w:after="60"/>
              <w:ind w:left="426" w:hanging="284"/>
              <w:jc w:val="both"/>
              <w:rPr>
                <w:rFonts w:ascii="Times New Roman" w:eastAsia="Times New Roman" w:hAnsi="Times New Roman" w:cs="Times New Roman"/>
                <w:b/>
                <w:bCs/>
                <w:color w:val="000000" w:themeColor="text1"/>
                <w:sz w:val="20"/>
                <w:szCs w:val="16"/>
              </w:rPr>
            </w:pPr>
            <w:r>
              <w:rPr>
                <w:rFonts w:ascii="Times New Roman" w:hAnsi="Times New Roman"/>
                <w:b/>
                <w:bCs/>
                <w:color w:val="000000" w:themeColor="text1"/>
                <w:sz w:val="20"/>
                <w:szCs w:val="16"/>
              </w:rPr>
              <w:t>26 lutego 20</w:t>
            </w:r>
            <w:r w:rsidRPr="00A467B6">
              <w:rPr>
                <w:rFonts w:ascii="Times New Roman" w:hAnsi="Times New Roman"/>
                <w:b/>
                <w:bCs/>
                <w:color w:val="000000" w:themeColor="text1"/>
                <w:sz w:val="20"/>
                <w:szCs w:val="16"/>
              </w:rPr>
              <w:t>21</w:t>
            </w:r>
            <w:r w:rsidR="00A467B6" w:rsidRPr="00A467B6">
              <w:rPr>
                <w:rFonts w:ascii="Times New Roman" w:hAnsi="Times New Roman"/>
                <w:b/>
                <w:bCs/>
                <w:color w:val="000000" w:themeColor="text1"/>
                <w:sz w:val="20"/>
                <w:szCs w:val="16"/>
              </w:rPr>
              <w:t> </w:t>
            </w:r>
            <w:r w:rsidRPr="00A467B6">
              <w:rPr>
                <w:rFonts w:ascii="Times New Roman" w:hAnsi="Times New Roman"/>
                <w:b/>
                <w:bCs/>
                <w:color w:val="000000" w:themeColor="text1"/>
                <w:sz w:val="20"/>
                <w:szCs w:val="16"/>
              </w:rPr>
              <w:t>r.</w:t>
            </w:r>
          </w:p>
          <w:p w14:paraId="0551E9E7" w14:textId="7B0C81D1" w:rsidR="009D29AB" w:rsidRPr="009D29AB" w:rsidRDefault="009D29AB" w:rsidP="009D29AB">
            <w:pPr>
              <w:shd w:val="clear" w:color="auto" w:fill="FFFFFF"/>
              <w:tabs>
                <w:tab w:val="num" w:pos="709"/>
              </w:tabs>
              <w:spacing w:after="60"/>
              <w:ind w:left="710" w:hanging="284"/>
              <w:jc w:val="both"/>
              <w:rPr>
                <w:rFonts w:ascii="Times New Roman" w:eastAsia="Times New Roman" w:hAnsi="Times New Roman" w:cs="Times New Roman"/>
                <w:color w:val="002060"/>
                <w:sz w:val="18"/>
                <w:szCs w:val="16"/>
              </w:rPr>
            </w:pPr>
            <w:r>
              <w:rPr>
                <w:rFonts w:ascii="Times New Roman" w:hAnsi="Times New Roman"/>
                <w:color w:val="000000" w:themeColor="text1"/>
                <w:sz w:val="20"/>
                <w:szCs w:val="16"/>
              </w:rPr>
              <w:t>Komisja zaproponowała wsparcie finansowe</w:t>
            </w:r>
            <w:r w:rsidR="00A467B6">
              <w:rPr>
                <w:rFonts w:ascii="Times New Roman" w:hAnsi="Times New Roman"/>
                <w:color w:val="000000" w:themeColor="text1"/>
                <w:sz w:val="20"/>
                <w:szCs w:val="16"/>
              </w:rPr>
              <w:t xml:space="preserve"> w wys</w:t>
            </w:r>
            <w:r>
              <w:rPr>
                <w:rFonts w:ascii="Times New Roman" w:hAnsi="Times New Roman"/>
                <w:color w:val="000000" w:themeColor="text1"/>
                <w:sz w:val="20"/>
                <w:szCs w:val="16"/>
              </w:rPr>
              <w:t>okości 230 mln EUR dla Estonii</w:t>
            </w:r>
          </w:p>
        </w:tc>
      </w:tr>
    </w:tbl>
    <w:p w14:paraId="7D963EA5" w14:textId="77777777" w:rsidR="009D29AB" w:rsidRPr="000C43EC" w:rsidRDefault="009D29AB" w:rsidP="009D29AB">
      <w:pPr>
        <w:spacing w:before="120" w:after="120"/>
        <w:jc w:val="both"/>
        <w:rPr>
          <w:rFonts w:ascii="Times New Roman" w:hAnsi="Times New Roman" w:cs="Times New Roman"/>
          <w:b/>
          <w:color w:val="000000" w:themeColor="text1"/>
          <w:sz w:val="24"/>
        </w:rPr>
      </w:pPr>
    </w:p>
    <w:p w14:paraId="07EE4791" w14:textId="11AEE760"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Każde państwo członkowskie korzystające</w:t>
      </w:r>
      <w:r w:rsidR="00A467B6">
        <w:rPr>
          <w:rFonts w:ascii="Times New Roman" w:hAnsi="Times New Roman"/>
          <w:b/>
          <w:color w:val="000000" w:themeColor="text1"/>
          <w:sz w:val="24"/>
        </w:rPr>
        <w:t xml:space="preserve"> z pom</w:t>
      </w:r>
      <w:r>
        <w:rPr>
          <w:rFonts w:ascii="Times New Roman" w:hAnsi="Times New Roman"/>
          <w:b/>
          <w:color w:val="000000" w:themeColor="text1"/>
          <w:sz w:val="24"/>
        </w:rPr>
        <w:t>ocy finansowej</w:t>
      </w:r>
      <w:r w:rsidR="00A467B6">
        <w:rPr>
          <w:rFonts w:ascii="Times New Roman" w:hAnsi="Times New Roman"/>
          <w:b/>
          <w:color w:val="000000" w:themeColor="text1"/>
          <w:sz w:val="24"/>
        </w:rPr>
        <w:t xml:space="preserve"> w ram</w:t>
      </w:r>
      <w:r>
        <w:rPr>
          <w:rFonts w:ascii="Times New Roman" w:hAnsi="Times New Roman"/>
          <w:b/>
          <w:color w:val="000000" w:themeColor="text1"/>
          <w:sz w:val="24"/>
        </w:rPr>
        <w:t>ach SURE było zobowiązane do podpisania</w:t>
      </w:r>
      <w:r w:rsidR="00A467B6">
        <w:rPr>
          <w:rFonts w:ascii="Times New Roman" w:hAnsi="Times New Roman"/>
          <w:b/>
          <w:color w:val="000000" w:themeColor="text1"/>
          <w:sz w:val="24"/>
        </w:rPr>
        <w:t xml:space="preserve"> z Kom</w:t>
      </w:r>
      <w:r>
        <w:rPr>
          <w:rFonts w:ascii="Times New Roman" w:hAnsi="Times New Roman"/>
          <w:b/>
          <w:color w:val="000000" w:themeColor="text1"/>
          <w:sz w:val="24"/>
        </w:rPr>
        <w:t>isją umowy pożyczki określającej cechy pożyczki</w:t>
      </w:r>
      <w:r>
        <w:rPr>
          <w:rFonts w:ascii="Times New Roman" w:hAnsi="Times New Roman" w:cs="Times New Roman"/>
          <w:color w:val="000000" w:themeColor="text1"/>
          <w:sz w:val="24"/>
          <w:vertAlign w:val="superscript"/>
          <w:lang w:val="en-GB"/>
        </w:rPr>
        <w:footnoteReference w:id="11"/>
      </w:r>
      <w:r>
        <w:rPr>
          <w:rFonts w:ascii="Times New Roman" w:hAnsi="Times New Roman"/>
          <w:color w:val="000000" w:themeColor="text1"/>
          <w:sz w:val="24"/>
        </w:rPr>
        <w:t>.</w:t>
      </w:r>
      <w:r>
        <w:rPr>
          <w:rFonts w:ascii="Times New Roman" w:hAnsi="Times New Roman"/>
          <w:b/>
          <w:color w:val="000000" w:themeColor="text1"/>
          <w:sz w:val="24"/>
        </w:rPr>
        <w:t xml:space="preserve"> </w:t>
      </w:r>
      <w:r>
        <w:rPr>
          <w:rFonts w:ascii="Times New Roman" w:hAnsi="Times New Roman"/>
          <w:color w:val="000000" w:themeColor="text1"/>
          <w:sz w:val="24"/>
        </w:rPr>
        <w:t>Na mocy rozporządzenia</w:t>
      </w:r>
      <w:r w:rsidR="00A467B6">
        <w:rPr>
          <w:rFonts w:ascii="Times New Roman" w:hAnsi="Times New Roman"/>
          <w:color w:val="000000" w:themeColor="text1"/>
          <w:sz w:val="24"/>
        </w:rPr>
        <w:t xml:space="preserve"> w spr</w:t>
      </w:r>
      <w:r>
        <w:rPr>
          <w:rFonts w:ascii="Times New Roman" w:hAnsi="Times New Roman"/>
          <w:color w:val="000000" w:themeColor="text1"/>
          <w:sz w:val="24"/>
        </w:rPr>
        <w:t>awie SURE Komisja jest uprawniona do zaciągania pożyczek</w:t>
      </w:r>
      <w:r w:rsidR="00A467B6">
        <w:rPr>
          <w:rFonts w:ascii="Times New Roman" w:hAnsi="Times New Roman"/>
          <w:color w:val="000000" w:themeColor="text1"/>
          <w:sz w:val="24"/>
        </w:rPr>
        <w:t xml:space="preserve"> w imi</w:t>
      </w:r>
      <w:r>
        <w:rPr>
          <w:rFonts w:ascii="Times New Roman" w:hAnsi="Times New Roman"/>
          <w:color w:val="000000" w:themeColor="text1"/>
          <w:sz w:val="24"/>
        </w:rPr>
        <w:t>eniu Unii na rynkach finansowych lub od instytucji finansowych,</w:t>
      </w:r>
      <w:r w:rsidR="00A467B6">
        <w:rPr>
          <w:rFonts w:ascii="Times New Roman" w:hAnsi="Times New Roman"/>
          <w:color w:val="000000" w:themeColor="text1"/>
          <w:sz w:val="24"/>
        </w:rPr>
        <w:t xml:space="preserve"> a tak</w:t>
      </w:r>
      <w:r>
        <w:rPr>
          <w:rFonts w:ascii="Times New Roman" w:hAnsi="Times New Roman"/>
          <w:color w:val="000000" w:themeColor="text1"/>
          <w:sz w:val="24"/>
        </w:rPr>
        <w:t>że do wypłacania pomocy finansowej przyznanej przez Radę</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SURE państwom członkowskim korzystającym</w:t>
      </w:r>
      <w:r w:rsidR="00A467B6">
        <w:rPr>
          <w:rFonts w:ascii="Times New Roman" w:hAnsi="Times New Roman"/>
          <w:color w:val="000000" w:themeColor="text1"/>
          <w:sz w:val="24"/>
        </w:rPr>
        <w:t xml:space="preserve"> z pom</w:t>
      </w:r>
      <w:r>
        <w:rPr>
          <w:rFonts w:ascii="Times New Roman" w:hAnsi="Times New Roman"/>
          <w:color w:val="000000" w:themeColor="text1"/>
          <w:sz w:val="24"/>
        </w:rPr>
        <w:t>ocy. Większość umów pożyczek (w tym wnioski</w:t>
      </w:r>
      <w:r w:rsidR="00A467B6">
        <w:rPr>
          <w:rFonts w:ascii="Times New Roman" w:hAnsi="Times New Roman"/>
          <w:color w:val="000000" w:themeColor="text1"/>
          <w:sz w:val="24"/>
        </w:rPr>
        <w:t xml:space="preserve"> o śro</w:t>
      </w:r>
      <w:r>
        <w:rPr>
          <w:rFonts w:ascii="Times New Roman" w:hAnsi="Times New Roman"/>
          <w:color w:val="000000" w:themeColor="text1"/>
          <w:sz w:val="24"/>
        </w:rPr>
        <w:t>dki finansowe</w:t>
      </w:r>
      <w:r w:rsidR="00A467B6">
        <w:rPr>
          <w:rFonts w:ascii="Times New Roman" w:hAnsi="Times New Roman"/>
          <w:color w:val="000000" w:themeColor="text1"/>
          <w:sz w:val="24"/>
        </w:rPr>
        <w:t xml:space="preserve"> i opi</w:t>
      </w:r>
      <w:r>
        <w:rPr>
          <w:rFonts w:ascii="Times New Roman" w:hAnsi="Times New Roman"/>
          <w:color w:val="000000" w:themeColor="text1"/>
          <w:sz w:val="24"/>
        </w:rPr>
        <w:t>nie prawne) podpisano</w:t>
      </w:r>
      <w:r w:rsidR="00A467B6">
        <w:rPr>
          <w:rFonts w:ascii="Times New Roman" w:hAnsi="Times New Roman"/>
          <w:color w:val="000000" w:themeColor="text1"/>
          <w:sz w:val="24"/>
        </w:rPr>
        <w:t xml:space="preserve"> w ost</w:t>
      </w:r>
      <w:r>
        <w:rPr>
          <w:rFonts w:ascii="Times New Roman" w:hAnsi="Times New Roman"/>
          <w:color w:val="000000" w:themeColor="text1"/>
          <w:sz w:val="24"/>
        </w:rPr>
        <w:t>atnim kwartale 20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co umożliwiło Komisji emisję obligacji SURE,</w:t>
      </w:r>
      <w:r w:rsidR="00A467B6">
        <w:rPr>
          <w:rFonts w:ascii="Times New Roman" w:hAnsi="Times New Roman"/>
          <w:color w:val="000000" w:themeColor="text1"/>
          <w:sz w:val="24"/>
        </w:rPr>
        <w:t xml:space="preserve"> z któ</w:t>
      </w:r>
      <w:r>
        <w:rPr>
          <w:rFonts w:ascii="Times New Roman" w:hAnsi="Times New Roman"/>
          <w:color w:val="000000" w:themeColor="text1"/>
          <w:sz w:val="24"/>
        </w:rPr>
        <w:t>rych pierwsza miała miejsce</w:t>
      </w:r>
      <w:r w:rsidR="00A467B6">
        <w:rPr>
          <w:rFonts w:ascii="Times New Roman" w:hAnsi="Times New Roman"/>
          <w:color w:val="000000" w:themeColor="text1"/>
          <w:sz w:val="24"/>
        </w:rPr>
        <w:t xml:space="preserve"> w dni</w:t>
      </w:r>
      <w:r>
        <w:rPr>
          <w:rFonts w:ascii="Times New Roman" w:hAnsi="Times New Roman"/>
          <w:color w:val="000000" w:themeColor="text1"/>
          <w:sz w:val="24"/>
        </w:rPr>
        <w:t>u 20 października 20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Ze względu na wielkość operacji pożyczkowej na rynkach finansowych obligacje te emitowano</w:t>
      </w:r>
      <w:r w:rsidR="00A467B6">
        <w:rPr>
          <w:rFonts w:ascii="Times New Roman" w:hAnsi="Times New Roman"/>
          <w:color w:val="000000" w:themeColor="text1"/>
          <w:sz w:val="24"/>
        </w:rPr>
        <w:t xml:space="preserve"> w tra</w:t>
      </w:r>
      <w:r>
        <w:rPr>
          <w:rFonts w:ascii="Times New Roman" w:hAnsi="Times New Roman"/>
          <w:color w:val="000000" w:themeColor="text1"/>
          <w:sz w:val="24"/>
        </w:rPr>
        <w:t>nszach,</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czterech emisji, do końca stycznia 20</w:t>
      </w:r>
      <w:r w:rsidRPr="00A467B6">
        <w:rPr>
          <w:rFonts w:ascii="Times New Roman" w:hAnsi="Times New Roman"/>
          <w:color w:val="000000" w:themeColor="text1"/>
          <w:sz w:val="24"/>
        </w:rPr>
        <w:t>21</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Pozyskane środki wypłacono państwom członkowskim</w:t>
      </w:r>
      <w:r w:rsidR="00A467B6">
        <w:rPr>
          <w:rFonts w:ascii="Times New Roman" w:hAnsi="Times New Roman"/>
          <w:color w:val="000000" w:themeColor="text1"/>
          <w:sz w:val="24"/>
        </w:rPr>
        <w:t xml:space="preserve"> w rat</w:t>
      </w:r>
      <w:r>
        <w:rPr>
          <w:rFonts w:ascii="Times New Roman" w:hAnsi="Times New Roman"/>
          <w:color w:val="000000" w:themeColor="text1"/>
          <w:sz w:val="24"/>
        </w:rPr>
        <w:t>ach</w:t>
      </w:r>
      <w:r w:rsidR="00A467B6">
        <w:rPr>
          <w:rFonts w:ascii="Times New Roman" w:hAnsi="Times New Roman"/>
          <w:color w:val="000000" w:themeColor="text1"/>
          <w:sz w:val="24"/>
        </w:rPr>
        <w:t xml:space="preserve"> w cią</w:t>
      </w:r>
      <w:r>
        <w:rPr>
          <w:rFonts w:ascii="Times New Roman" w:hAnsi="Times New Roman"/>
          <w:color w:val="000000" w:themeColor="text1"/>
          <w:sz w:val="24"/>
        </w:rPr>
        <w:t>gu tygodnia od emisji</w:t>
      </w:r>
      <w:r>
        <w:rPr>
          <w:rFonts w:ascii="Times New Roman" w:hAnsi="Times New Roman" w:cs="Times New Roman"/>
          <w:color w:val="000000" w:themeColor="text1"/>
          <w:sz w:val="24"/>
          <w:vertAlign w:val="superscript"/>
          <w:lang w:val="en-GB"/>
        </w:rPr>
        <w:footnoteReference w:id="12"/>
      </w:r>
      <w:r>
        <w:rPr>
          <w:rFonts w:ascii="Times New Roman" w:hAnsi="Times New Roman"/>
          <w:color w:val="000000" w:themeColor="text1"/>
          <w:sz w:val="24"/>
        </w:rPr>
        <w:t xml:space="preserve">. </w:t>
      </w:r>
      <w:r>
        <w:rPr>
          <w:rFonts w:ascii="Times New Roman" w:hAnsi="Times New Roman"/>
          <w:color w:val="000000" w:themeColor="text1"/>
          <w:sz w:val="24"/>
          <w:szCs w:val="24"/>
        </w:rPr>
        <w:t>Emisję obligacji SURE przeprowadzono na podstawie nowych unijnych ram dotyczących obligacji społecznych,</w:t>
      </w:r>
      <w:r>
        <w:rPr>
          <w:rFonts w:ascii="Times New Roman" w:hAnsi="Times New Roman"/>
        </w:rPr>
        <w:t xml:space="preserve"> </w:t>
      </w:r>
      <w:r>
        <w:rPr>
          <w:rFonts w:ascii="Times New Roman" w:hAnsi="Times New Roman"/>
          <w:color w:val="000000" w:themeColor="text1"/>
          <w:sz w:val="24"/>
          <w:szCs w:val="24"/>
        </w:rPr>
        <w:t>gdyż wsparcie udzielane państwom członkowskim przez UE</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tego instrumentu służy osiągnięciu celu społecznego, jakim jest ochrona zatrudnienia, utrzymanie dochodów rodzin oraz wsparcie całej gospodarki</w:t>
      </w:r>
      <w:r w:rsidR="00A467B6">
        <w:rPr>
          <w:rFonts w:ascii="Times New Roman" w:hAnsi="Times New Roman"/>
          <w:color w:val="000000" w:themeColor="text1"/>
          <w:sz w:val="24"/>
          <w:szCs w:val="24"/>
        </w:rPr>
        <w:t xml:space="preserve">. </w:t>
      </w:r>
      <w:r w:rsidR="00A467B6">
        <w:rPr>
          <w:rFonts w:ascii="Times New Roman" w:hAnsi="Times New Roman"/>
          <w:color w:val="000000" w:themeColor="text1"/>
          <w:sz w:val="24"/>
        </w:rPr>
        <w:t>Z</w:t>
      </w:r>
      <w:r w:rsidR="00A467B6">
        <w:rPr>
          <w:rFonts w:ascii="Times New Roman" w:hAnsi="Times New Roman"/>
          <w:color w:val="000000" w:themeColor="text1"/>
          <w:sz w:val="24"/>
          <w:szCs w:val="24"/>
        </w:rPr>
        <w:t> </w:t>
      </w:r>
      <w:r w:rsidR="00A467B6">
        <w:rPr>
          <w:rFonts w:ascii="Times New Roman" w:hAnsi="Times New Roman"/>
          <w:color w:val="000000" w:themeColor="text1"/>
          <w:sz w:val="24"/>
        </w:rPr>
        <w:t>kor</w:t>
      </w:r>
      <w:r>
        <w:rPr>
          <w:rFonts w:ascii="Times New Roman" w:hAnsi="Times New Roman"/>
          <w:color w:val="000000" w:themeColor="text1"/>
          <w:sz w:val="24"/>
        </w:rPr>
        <w:t>zystnych warunków uzyskanych przez Komisję przy pożyczaniu środków na sfinansowanie SURE skorzystały również bezpośrednio państwa członkowskie dzięki pożyczkom wzajemnym</w:t>
      </w:r>
      <w:r>
        <w:rPr>
          <w:rFonts w:ascii="Times New Roman" w:hAnsi="Times New Roman" w:cs="Times New Roman"/>
          <w:color w:val="000000" w:themeColor="text1"/>
          <w:sz w:val="24"/>
          <w:vertAlign w:val="superscript"/>
        </w:rPr>
        <w:footnoteReference w:id="13"/>
      </w:r>
      <w:r>
        <w:rPr>
          <w:rFonts w:ascii="Times New Roman" w:hAnsi="Times New Roman"/>
          <w:color w:val="000000" w:themeColor="text1"/>
          <w:sz w:val="24"/>
        </w:rPr>
        <w:t xml:space="preserve"> (zob. sekcja II). </w:t>
      </w:r>
    </w:p>
    <w:p w14:paraId="5B3C3075" w14:textId="77777777" w:rsidR="009D29AB" w:rsidRPr="000C43EC" w:rsidRDefault="009D29AB" w:rsidP="00D61F7B">
      <w:pPr>
        <w:spacing w:before="120" w:after="120"/>
        <w:rPr>
          <w:rFonts w:ascii="Times New Roman" w:hAnsi="Times New Roman" w:cs="Times New Roman"/>
          <w:color w:val="000000" w:themeColor="text1"/>
        </w:rPr>
      </w:pPr>
    </w:p>
    <w:p w14:paraId="2F1BEDD8" w14:textId="71A8AD7B" w:rsidR="009D29AB" w:rsidRPr="009D29AB" w:rsidRDefault="009D29AB" w:rsidP="00D61F7B">
      <w:pPr>
        <w:numPr>
          <w:ilvl w:val="0"/>
          <w:numId w:val="5"/>
        </w:numPr>
        <w:spacing w:before="120" w:after="120" w:line="240" w:lineRule="auto"/>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Korzystanie</w:t>
      </w:r>
      <w:r w:rsidR="00A467B6">
        <w:rPr>
          <w:rFonts w:ascii="Times New Roman" w:hAnsi="Times New Roman"/>
          <w:b/>
          <w:smallCaps/>
          <w:sz w:val="24"/>
          <w:szCs w:val="20"/>
        </w:rPr>
        <w:t xml:space="preserve"> z pom</w:t>
      </w:r>
      <w:r>
        <w:rPr>
          <w:rFonts w:ascii="Times New Roman" w:hAnsi="Times New Roman"/>
          <w:b/>
          <w:smallCaps/>
          <w:sz w:val="24"/>
          <w:szCs w:val="20"/>
        </w:rPr>
        <w:t>ocy finansowej</w:t>
      </w:r>
      <w:r w:rsidR="00A467B6">
        <w:rPr>
          <w:rFonts w:ascii="Times New Roman" w:hAnsi="Times New Roman"/>
          <w:b/>
          <w:smallCaps/>
          <w:sz w:val="24"/>
          <w:szCs w:val="20"/>
        </w:rPr>
        <w:t xml:space="preserve"> w ram</w:t>
      </w:r>
      <w:r>
        <w:rPr>
          <w:rFonts w:ascii="Times New Roman" w:hAnsi="Times New Roman"/>
          <w:b/>
          <w:smallCaps/>
          <w:sz w:val="24"/>
          <w:szCs w:val="20"/>
        </w:rPr>
        <w:t>ach SURE: kwoty przyznane</w:t>
      </w:r>
      <w:r w:rsidR="00A467B6">
        <w:rPr>
          <w:rFonts w:ascii="Times New Roman" w:hAnsi="Times New Roman"/>
          <w:b/>
          <w:smallCaps/>
          <w:sz w:val="24"/>
          <w:szCs w:val="20"/>
        </w:rPr>
        <w:t xml:space="preserve"> i wyp</w:t>
      </w:r>
      <w:r>
        <w:rPr>
          <w:rFonts w:ascii="Times New Roman" w:hAnsi="Times New Roman"/>
          <w:b/>
          <w:smallCaps/>
          <w:sz w:val="24"/>
          <w:szCs w:val="20"/>
        </w:rPr>
        <w:t>łacone oraz inne aspekty finansowe</w:t>
      </w:r>
      <w:r>
        <w:rPr>
          <w:rFonts w:ascii="Times New Roman" w:hAnsi="Times New Roman"/>
          <w:b/>
          <w:color w:val="000000" w:themeColor="text1"/>
          <w:sz w:val="24"/>
          <w:szCs w:val="20"/>
        </w:rPr>
        <w:t xml:space="preserve"> </w:t>
      </w:r>
    </w:p>
    <w:p w14:paraId="5D803C2D" w14:textId="6F5B4A04"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sz w:val="24"/>
        </w:rPr>
        <w:t>W niniejszej sekcji przedstawiono informacje</w:t>
      </w:r>
      <w:r w:rsidR="00A467B6">
        <w:rPr>
          <w:rFonts w:ascii="Times New Roman" w:hAnsi="Times New Roman"/>
          <w:sz w:val="24"/>
        </w:rPr>
        <w:t xml:space="preserve"> o pań</w:t>
      </w:r>
      <w:r>
        <w:rPr>
          <w:rFonts w:ascii="Times New Roman" w:hAnsi="Times New Roman"/>
          <w:sz w:val="24"/>
        </w:rPr>
        <w:t>stwach członkowskich korzystających</w:t>
      </w:r>
      <w:r w:rsidR="00A467B6">
        <w:rPr>
          <w:rFonts w:ascii="Times New Roman" w:hAnsi="Times New Roman"/>
          <w:sz w:val="24"/>
        </w:rPr>
        <w:t xml:space="preserve"> z pom</w:t>
      </w:r>
      <w:r>
        <w:rPr>
          <w:rFonts w:ascii="Times New Roman" w:hAnsi="Times New Roman"/>
          <w:sz w:val="24"/>
        </w:rPr>
        <w:t>ocy, kwotach przyznanych przez Radę,</w:t>
      </w:r>
      <w:r w:rsidR="00A467B6">
        <w:rPr>
          <w:rFonts w:ascii="Times New Roman" w:hAnsi="Times New Roman"/>
          <w:sz w:val="24"/>
        </w:rPr>
        <w:t xml:space="preserve"> a tak</w:t>
      </w:r>
      <w:r>
        <w:rPr>
          <w:rFonts w:ascii="Times New Roman" w:hAnsi="Times New Roman"/>
          <w:sz w:val="24"/>
        </w:rPr>
        <w:t>że wypłatach, pozostających kwotach należnych oraz mającym zastosowanie harmonogramie spłat.</w:t>
      </w:r>
    </w:p>
    <w:p w14:paraId="1B9179D8" w14:textId="5761A078" w:rsidR="009D29AB" w:rsidRPr="009D29AB" w:rsidRDefault="009D29AB" w:rsidP="009D29AB">
      <w:pPr>
        <w:spacing w:before="120" w:after="120"/>
        <w:jc w:val="both"/>
        <w:rPr>
          <w:rFonts w:ascii="Times New Roman" w:hAnsi="Times New Roman" w:cs="Times New Roman"/>
          <w:i/>
          <w:color w:val="000000" w:themeColor="text1"/>
        </w:rPr>
      </w:pPr>
      <w:r>
        <w:rPr>
          <w:rFonts w:ascii="Times New Roman" w:hAnsi="Times New Roman"/>
          <w:i/>
          <w:color w:val="000000" w:themeColor="text1"/>
        </w:rPr>
        <w:t>(</w:t>
      </w:r>
      <w:r>
        <w:rPr>
          <w:rFonts w:ascii="Times New Roman" w:hAnsi="Times New Roman"/>
          <w:i/>
          <w:color w:val="000000" w:themeColor="text1"/>
          <w:sz w:val="24"/>
        </w:rPr>
        <w:t>i</w:t>
      </w:r>
      <w:r>
        <w:rPr>
          <w:rFonts w:ascii="Times New Roman" w:hAnsi="Times New Roman"/>
          <w:i/>
          <w:color w:val="000000" w:themeColor="text1"/>
        </w:rPr>
        <w:t xml:space="preserve">) </w:t>
      </w:r>
      <w:r>
        <w:rPr>
          <w:rFonts w:ascii="Times New Roman" w:hAnsi="Times New Roman"/>
          <w:i/>
          <w:color w:val="000000" w:themeColor="text1"/>
          <w:sz w:val="24"/>
        </w:rPr>
        <w:t>Przegląd państw członkowskich korzystających</w:t>
      </w:r>
      <w:r w:rsidR="00A467B6">
        <w:rPr>
          <w:rFonts w:ascii="Times New Roman" w:hAnsi="Times New Roman"/>
          <w:i/>
          <w:color w:val="000000" w:themeColor="text1"/>
          <w:sz w:val="24"/>
        </w:rPr>
        <w:t xml:space="preserve"> z pom</w:t>
      </w:r>
      <w:r>
        <w:rPr>
          <w:rFonts w:ascii="Times New Roman" w:hAnsi="Times New Roman"/>
          <w:i/>
          <w:color w:val="000000" w:themeColor="text1"/>
          <w:sz w:val="24"/>
        </w:rPr>
        <w:t>ocy oraz kwot przyznanych przez Radę</w:t>
      </w:r>
    </w:p>
    <w:p w14:paraId="36FC11BC" w14:textId="024FACDA"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Od czasu wprowadzenia SURE odnotowano znaczne zapotrzebowanie państw członkowskich na pomoc finansową</w:t>
      </w:r>
      <w:r w:rsidR="00A467B6">
        <w:rPr>
          <w:rFonts w:ascii="Times New Roman" w:hAnsi="Times New Roman"/>
          <w:b/>
          <w:sz w:val="24"/>
        </w:rPr>
        <w:t xml:space="preserve"> w jeg</w:t>
      </w:r>
      <w:r>
        <w:rPr>
          <w:rFonts w:ascii="Times New Roman" w:hAnsi="Times New Roman"/>
          <w:b/>
          <w:sz w:val="24"/>
        </w:rPr>
        <w:t>o ramach, czego potwierdzeniem jest fakt, że przydzielono już ponad 9</w:t>
      </w:r>
      <w:r w:rsidRPr="00A467B6">
        <w:rPr>
          <w:rFonts w:ascii="Times New Roman" w:hAnsi="Times New Roman"/>
          <w:b/>
          <w:sz w:val="24"/>
        </w:rPr>
        <w:t>0</w:t>
      </w:r>
      <w:r w:rsidR="00A467B6" w:rsidRPr="00A467B6">
        <w:rPr>
          <w:rFonts w:ascii="Times New Roman" w:hAnsi="Times New Roman"/>
          <w:b/>
          <w:sz w:val="24"/>
        </w:rPr>
        <w:t> </w:t>
      </w:r>
      <w:r w:rsidRPr="00A467B6">
        <w:rPr>
          <w:rFonts w:ascii="Times New Roman" w:hAnsi="Times New Roman"/>
          <w:b/>
          <w:sz w:val="24"/>
        </w:rPr>
        <w:t>%</w:t>
      </w:r>
      <w:r>
        <w:rPr>
          <w:rFonts w:ascii="Times New Roman" w:hAnsi="Times New Roman"/>
          <w:b/>
          <w:sz w:val="24"/>
        </w:rPr>
        <w:t xml:space="preserve"> całkowitej puli środków wynoszącej 100 mld EUR. </w:t>
      </w:r>
      <w:r>
        <w:rPr>
          <w:rFonts w:ascii="Times New Roman" w:hAnsi="Times New Roman"/>
          <w:sz w:val="24"/>
        </w:rPr>
        <w:t>Osiemnaście państw członkowskich wystąpiło</w:t>
      </w:r>
      <w:r w:rsidR="00A467B6">
        <w:rPr>
          <w:rFonts w:ascii="Times New Roman" w:hAnsi="Times New Roman"/>
          <w:sz w:val="24"/>
        </w:rPr>
        <w:t xml:space="preserve"> o pom</w:t>
      </w:r>
      <w:r>
        <w:rPr>
          <w:rFonts w:ascii="Times New Roman" w:hAnsi="Times New Roman"/>
          <w:sz w:val="24"/>
        </w:rPr>
        <w:t>oc finansową</w:t>
      </w:r>
      <w:r w:rsidR="00A467B6">
        <w:rPr>
          <w:rFonts w:ascii="Times New Roman" w:hAnsi="Times New Roman"/>
          <w:sz w:val="24"/>
        </w:rPr>
        <w:t xml:space="preserve"> i Rad</w:t>
      </w:r>
      <w:r>
        <w:rPr>
          <w:rFonts w:ascii="Times New Roman" w:hAnsi="Times New Roman"/>
          <w:sz w:val="24"/>
        </w:rPr>
        <w:t>a przyznała im taką pomoc na łączną kwotę 90,3 mld EUR (zob. tabela 2). Dziewiętnaste państwo członkowskie złożyło wniosek</w:t>
      </w:r>
      <w:r w:rsidR="00A467B6">
        <w:rPr>
          <w:rFonts w:ascii="Times New Roman" w:hAnsi="Times New Roman"/>
          <w:sz w:val="24"/>
        </w:rPr>
        <w:t xml:space="preserve"> o udz</w:t>
      </w:r>
      <w:r>
        <w:rPr>
          <w:rFonts w:ascii="Times New Roman" w:hAnsi="Times New Roman"/>
          <w:sz w:val="24"/>
        </w:rPr>
        <w:t>ielenie pomocy finansowej</w:t>
      </w:r>
      <w:r w:rsidR="00A467B6">
        <w:rPr>
          <w:rFonts w:ascii="Times New Roman" w:hAnsi="Times New Roman"/>
          <w:sz w:val="24"/>
        </w:rPr>
        <w:t xml:space="preserve"> w ram</w:t>
      </w:r>
      <w:r>
        <w:rPr>
          <w:rFonts w:ascii="Times New Roman" w:hAnsi="Times New Roman"/>
          <w:sz w:val="24"/>
        </w:rPr>
        <w:t>ach SURE</w:t>
      </w:r>
      <w:r w:rsidR="00A467B6">
        <w:rPr>
          <w:rFonts w:ascii="Times New Roman" w:hAnsi="Times New Roman"/>
          <w:sz w:val="24"/>
        </w:rPr>
        <w:t xml:space="preserve"> w lut</w:t>
      </w:r>
      <w:r>
        <w:rPr>
          <w:rFonts w:ascii="Times New Roman" w:hAnsi="Times New Roman"/>
          <w:sz w:val="24"/>
        </w:rPr>
        <w:t>ym 20</w:t>
      </w:r>
      <w:r w:rsidRPr="00A467B6">
        <w:rPr>
          <w:rFonts w:ascii="Times New Roman" w:hAnsi="Times New Roman"/>
          <w:sz w:val="24"/>
        </w:rPr>
        <w:t>21</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cs="Times New Roman"/>
          <w:sz w:val="24"/>
          <w:vertAlign w:val="superscript"/>
          <w:lang w:val="en-GB"/>
        </w:rPr>
        <w:footnoteReference w:id="14"/>
      </w:r>
    </w:p>
    <w:p w14:paraId="7F4130F6" w14:textId="6204D2EE"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Trzy najwyższe kwoty pomocy finansowej</w:t>
      </w:r>
      <w:r w:rsidR="00A467B6">
        <w:rPr>
          <w:rFonts w:ascii="Times New Roman" w:hAnsi="Times New Roman"/>
          <w:b/>
          <w:sz w:val="24"/>
        </w:rPr>
        <w:t xml:space="preserve"> w ram</w:t>
      </w:r>
      <w:r>
        <w:rPr>
          <w:rFonts w:ascii="Times New Roman" w:hAnsi="Times New Roman"/>
          <w:b/>
          <w:sz w:val="24"/>
        </w:rPr>
        <w:t>ach SURE przyznano Włochom (27,4 mld EUR), Hiszpanii (21,3 mld EUR)</w:t>
      </w:r>
      <w:r w:rsidR="00A467B6">
        <w:rPr>
          <w:rFonts w:ascii="Times New Roman" w:hAnsi="Times New Roman"/>
          <w:b/>
          <w:sz w:val="24"/>
        </w:rPr>
        <w:t xml:space="preserve"> i Pol</w:t>
      </w:r>
      <w:r>
        <w:rPr>
          <w:rFonts w:ascii="Times New Roman" w:hAnsi="Times New Roman"/>
          <w:b/>
          <w:sz w:val="24"/>
        </w:rPr>
        <w:t>sce (11,2 mld EUR).</w:t>
      </w:r>
      <w:r>
        <w:rPr>
          <w:rFonts w:ascii="Times New Roman" w:hAnsi="Times New Roman"/>
          <w:sz w:val="24"/>
        </w:rPr>
        <w:t xml:space="preserve"> Łącznie</w:t>
      </w:r>
      <w:r w:rsidR="00A467B6">
        <w:rPr>
          <w:rFonts w:ascii="Times New Roman" w:hAnsi="Times New Roman"/>
          <w:sz w:val="24"/>
        </w:rPr>
        <w:t xml:space="preserve"> w prz</w:t>
      </w:r>
      <w:r>
        <w:rPr>
          <w:rFonts w:ascii="Times New Roman" w:hAnsi="Times New Roman"/>
          <w:sz w:val="24"/>
        </w:rPr>
        <w:t>ypadku tych trzech państw członkowskich został osiągnięty limit koncentracji</w:t>
      </w:r>
      <w:r w:rsidR="00A467B6">
        <w:rPr>
          <w:rFonts w:ascii="Times New Roman" w:hAnsi="Times New Roman"/>
          <w:sz w:val="24"/>
        </w:rPr>
        <w:t xml:space="preserve"> w ram</w:t>
      </w:r>
      <w:r>
        <w:rPr>
          <w:rFonts w:ascii="Times New Roman" w:hAnsi="Times New Roman"/>
          <w:sz w:val="24"/>
        </w:rPr>
        <w:t>ach SURE, zgodnie</w:t>
      </w:r>
      <w:r w:rsidR="00A467B6">
        <w:rPr>
          <w:rFonts w:ascii="Times New Roman" w:hAnsi="Times New Roman"/>
          <w:sz w:val="24"/>
        </w:rPr>
        <w:t xml:space="preserve"> z któ</w:t>
      </w:r>
      <w:r>
        <w:rPr>
          <w:rFonts w:ascii="Times New Roman" w:hAnsi="Times New Roman"/>
          <w:sz w:val="24"/>
        </w:rPr>
        <w:t>rym udział pożyczek udzielonych trzem państwom członkowskim reprezentującym największy odsetek udzielonych pożyczek nie może przekraczać 6</w:t>
      </w:r>
      <w:r w:rsidRPr="00A467B6">
        <w:rPr>
          <w:rFonts w:ascii="Times New Roman" w:hAnsi="Times New Roman"/>
          <w:sz w:val="24"/>
        </w:rPr>
        <w:t>0</w:t>
      </w:r>
      <w:r w:rsidR="00A467B6" w:rsidRPr="00A467B6">
        <w:rPr>
          <w:rFonts w:ascii="Times New Roman" w:hAnsi="Times New Roman"/>
          <w:sz w:val="24"/>
        </w:rPr>
        <w:t> </w:t>
      </w:r>
      <w:r w:rsidRPr="00A467B6">
        <w:rPr>
          <w:rFonts w:ascii="Times New Roman" w:hAnsi="Times New Roman"/>
          <w:sz w:val="24"/>
        </w:rPr>
        <w:t>%</w:t>
      </w:r>
      <w:r>
        <w:rPr>
          <w:rFonts w:ascii="Times New Roman" w:hAnsi="Times New Roman"/>
          <w:sz w:val="24"/>
        </w:rPr>
        <w:t xml:space="preserve"> całkowitej puli środków wynoszącej 100 mld EUR, co oznacza, że udział ten nie może przekraczać 60 mld EUR</w:t>
      </w:r>
      <w:r>
        <w:rPr>
          <w:rFonts w:ascii="Times New Roman" w:hAnsi="Times New Roman" w:cs="Times New Roman"/>
          <w:sz w:val="24"/>
          <w:vertAlign w:val="superscript"/>
          <w:lang w:val="en-GB"/>
        </w:rPr>
        <w:footnoteReference w:id="15"/>
      </w:r>
      <w:r>
        <w:rPr>
          <w:rFonts w:ascii="Times New Roman" w:hAnsi="Times New Roman"/>
          <w:sz w:val="24"/>
        </w:rPr>
        <w:t xml:space="preserve">. </w:t>
      </w:r>
    </w:p>
    <w:p w14:paraId="03003B24" w14:textId="77777777" w:rsidR="009D29AB" w:rsidRPr="000C43EC" w:rsidRDefault="009D29AB" w:rsidP="009D29AB">
      <w:pPr>
        <w:spacing w:after="0" w:line="240" w:lineRule="auto"/>
        <w:rPr>
          <w:rFonts w:ascii="Times New Roman" w:hAnsi="Times New Roman" w:cs="Times New Roman"/>
          <w:b/>
          <w:sz w:val="24"/>
        </w:rPr>
      </w:pPr>
    </w:p>
    <w:p w14:paraId="3AE98B9A" w14:textId="77777777" w:rsidR="009D29AB" w:rsidRPr="009D29AB" w:rsidRDefault="009D29AB" w:rsidP="009D29AB">
      <w:pPr>
        <w:rPr>
          <w:rFonts w:ascii="Times New Roman" w:hAnsi="Times New Roman" w:cs="Times New Roman"/>
          <w:b/>
          <w:sz w:val="24"/>
        </w:rPr>
      </w:pPr>
      <w:r>
        <w:br w:type="page"/>
      </w:r>
    </w:p>
    <w:p w14:paraId="2C9D5D47" w14:textId="1A7DC136" w:rsidR="009D29AB" w:rsidRPr="009D29AB" w:rsidRDefault="009D29AB" w:rsidP="009D29AB">
      <w:pPr>
        <w:spacing w:after="0" w:line="240" w:lineRule="auto"/>
        <w:contextualSpacing/>
        <w:rPr>
          <w:rFonts w:ascii="Times New Roman" w:hAnsi="Times New Roman" w:cs="Times New Roman"/>
          <w:sz w:val="24"/>
        </w:rPr>
      </w:pPr>
      <w:r>
        <w:rPr>
          <w:rFonts w:ascii="Times New Roman" w:hAnsi="Times New Roman"/>
          <w:b/>
          <w:sz w:val="24"/>
        </w:rPr>
        <w:t>Tabela 2: Przegląd wsparcia udzielonego</w:t>
      </w:r>
      <w:r w:rsidR="00A467B6">
        <w:rPr>
          <w:rFonts w:ascii="Times New Roman" w:hAnsi="Times New Roman"/>
          <w:b/>
          <w:sz w:val="24"/>
        </w:rPr>
        <w:t xml:space="preserve"> w ram</w:t>
      </w:r>
      <w:r>
        <w:rPr>
          <w:rFonts w:ascii="Times New Roman" w:hAnsi="Times New Roman"/>
          <w:b/>
          <w:sz w:val="24"/>
        </w:rPr>
        <w:t>ach SURE</w:t>
      </w:r>
    </w:p>
    <w:tbl>
      <w:tblPr>
        <w:tblStyle w:val="TableGrid"/>
        <w:tblW w:w="0" w:type="auto"/>
        <w:tblLook w:val="04A0" w:firstRow="1" w:lastRow="0" w:firstColumn="1" w:lastColumn="0" w:noHBand="0" w:noVBand="1"/>
      </w:tblPr>
      <w:tblGrid>
        <w:gridCol w:w="2394"/>
        <w:gridCol w:w="2394"/>
        <w:gridCol w:w="2394"/>
        <w:gridCol w:w="2394"/>
      </w:tblGrid>
      <w:tr w:rsidR="009D29AB" w:rsidRPr="009D29AB" w14:paraId="28CD73BD" w14:textId="77777777" w:rsidTr="000C43EC">
        <w:trPr>
          <w:trHeight w:hRule="exact" w:val="581"/>
        </w:trPr>
        <w:tc>
          <w:tcPr>
            <w:tcW w:w="2394" w:type="dxa"/>
            <w:shd w:val="clear" w:color="auto" w:fill="auto"/>
            <w:vAlign w:val="center"/>
          </w:tcPr>
          <w:p w14:paraId="2C103E7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Państwo członkowskie</w:t>
            </w:r>
          </w:p>
        </w:tc>
        <w:tc>
          <w:tcPr>
            <w:tcW w:w="2394" w:type="dxa"/>
            <w:shd w:val="clear" w:color="auto" w:fill="auto"/>
            <w:vAlign w:val="center"/>
          </w:tcPr>
          <w:p w14:paraId="063934A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Przyznana kwota (EUR)</w:t>
            </w:r>
          </w:p>
        </w:tc>
        <w:tc>
          <w:tcPr>
            <w:tcW w:w="2394" w:type="dxa"/>
            <w:shd w:val="clear" w:color="auto" w:fill="auto"/>
            <w:vAlign w:val="center"/>
          </w:tcPr>
          <w:p w14:paraId="5BA485F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Data przyznania pomocy</w:t>
            </w:r>
          </w:p>
        </w:tc>
        <w:tc>
          <w:tcPr>
            <w:tcW w:w="2394" w:type="dxa"/>
            <w:shd w:val="clear" w:color="auto" w:fill="auto"/>
            <w:vAlign w:val="center"/>
          </w:tcPr>
          <w:p w14:paraId="51B506A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i/>
                <w:color w:val="000000" w:themeColor="text1"/>
                <w:sz w:val="20"/>
              </w:rPr>
              <w:t>Odesłanie do decyzji wykonawczej Rady</w:t>
            </w:r>
          </w:p>
        </w:tc>
      </w:tr>
      <w:tr w:rsidR="009D29AB" w:rsidRPr="009D29AB" w14:paraId="2BE0F1F6" w14:textId="77777777" w:rsidTr="000C43EC">
        <w:trPr>
          <w:trHeight w:hRule="exact" w:val="575"/>
        </w:trPr>
        <w:tc>
          <w:tcPr>
            <w:tcW w:w="2394" w:type="dxa"/>
            <w:shd w:val="clear" w:color="auto" w:fill="auto"/>
            <w:vAlign w:val="center"/>
          </w:tcPr>
          <w:p w14:paraId="6CDDD42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Belgia</w:t>
            </w:r>
          </w:p>
        </w:tc>
        <w:tc>
          <w:tcPr>
            <w:tcW w:w="2394" w:type="dxa"/>
            <w:shd w:val="clear" w:color="auto" w:fill="auto"/>
            <w:vAlign w:val="center"/>
          </w:tcPr>
          <w:p w14:paraId="1521BD3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7 803 380 000</w:t>
            </w:r>
          </w:p>
        </w:tc>
        <w:tc>
          <w:tcPr>
            <w:tcW w:w="2394" w:type="dxa"/>
            <w:shd w:val="clear" w:color="auto" w:fill="auto"/>
            <w:vAlign w:val="center"/>
          </w:tcPr>
          <w:p w14:paraId="4A655614" w14:textId="616CC03B"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wrzesień 20</w:t>
            </w:r>
            <w:r w:rsidRPr="00A467B6">
              <w:rPr>
                <w:rFonts w:ascii="Times New Roman" w:hAnsi="Times New Roman"/>
                <w:color w:val="000000"/>
                <w:sz w:val="20"/>
              </w:rPr>
              <w:t>20</w:t>
            </w:r>
            <w:r w:rsidR="00A467B6" w:rsidRPr="00A467B6">
              <w:rPr>
                <w:rFonts w:ascii="Times New Roman" w:hAnsi="Times New Roman"/>
                <w:color w:val="000000"/>
                <w:sz w:val="20"/>
              </w:rPr>
              <w:t> </w:t>
            </w:r>
            <w:r w:rsidRPr="00A467B6">
              <w:rPr>
                <w:rFonts w:ascii="Times New Roman" w:hAnsi="Times New Roman"/>
                <w:color w:val="000000"/>
                <w:sz w:val="20"/>
              </w:rPr>
              <w:t>r.</w:t>
            </w:r>
          </w:p>
        </w:tc>
        <w:tc>
          <w:tcPr>
            <w:tcW w:w="2394" w:type="dxa"/>
            <w:shd w:val="clear" w:color="auto" w:fill="auto"/>
            <w:vAlign w:val="center"/>
          </w:tcPr>
          <w:p w14:paraId="2CA4085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2020/1342</w:t>
            </w:r>
          </w:p>
        </w:tc>
      </w:tr>
      <w:tr w:rsidR="009D29AB" w:rsidRPr="009D29AB" w14:paraId="16F4C57F" w14:textId="77777777" w:rsidTr="000C43EC">
        <w:trPr>
          <w:trHeight w:hRule="exact" w:val="567"/>
        </w:trPr>
        <w:tc>
          <w:tcPr>
            <w:tcW w:w="2394" w:type="dxa"/>
            <w:shd w:val="clear" w:color="auto" w:fill="auto"/>
            <w:vAlign w:val="center"/>
          </w:tcPr>
          <w:p w14:paraId="6FAF239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Bułgaria</w:t>
            </w:r>
          </w:p>
        </w:tc>
        <w:tc>
          <w:tcPr>
            <w:tcW w:w="2394" w:type="dxa"/>
            <w:shd w:val="clear" w:color="auto" w:fill="auto"/>
            <w:vAlign w:val="center"/>
          </w:tcPr>
          <w:p w14:paraId="2CF60F2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511 000 000</w:t>
            </w:r>
          </w:p>
        </w:tc>
        <w:tc>
          <w:tcPr>
            <w:tcW w:w="2394" w:type="dxa"/>
            <w:shd w:val="clear" w:color="auto" w:fill="auto"/>
            <w:vAlign w:val="center"/>
          </w:tcPr>
          <w:p w14:paraId="76B14D1F" w14:textId="36A88AD4"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0AE8904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2020/1343</w:t>
            </w:r>
          </w:p>
        </w:tc>
      </w:tr>
      <w:tr w:rsidR="009D29AB" w:rsidRPr="009D29AB" w14:paraId="1798DA91" w14:textId="77777777" w:rsidTr="000C43EC">
        <w:trPr>
          <w:trHeight w:hRule="exact" w:val="562"/>
        </w:trPr>
        <w:tc>
          <w:tcPr>
            <w:tcW w:w="2394" w:type="dxa"/>
            <w:shd w:val="clear" w:color="auto" w:fill="auto"/>
            <w:vAlign w:val="center"/>
          </w:tcPr>
          <w:p w14:paraId="474965B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Cypr</w:t>
            </w:r>
          </w:p>
        </w:tc>
        <w:tc>
          <w:tcPr>
            <w:tcW w:w="2394" w:type="dxa"/>
            <w:shd w:val="clear" w:color="auto" w:fill="auto"/>
            <w:vAlign w:val="center"/>
          </w:tcPr>
          <w:p w14:paraId="65CFE96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479 070 000</w:t>
            </w:r>
          </w:p>
        </w:tc>
        <w:tc>
          <w:tcPr>
            <w:tcW w:w="2394" w:type="dxa"/>
            <w:shd w:val="clear" w:color="auto" w:fill="auto"/>
            <w:vAlign w:val="center"/>
          </w:tcPr>
          <w:p w14:paraId="74392E83" w14:textId="68667F38"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50BA5698"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2020/1344</w:t>
            </w:r>
          </w:p>
        </w:tc>
      </w:tr>
      <w:tr w:rsidR="009D29AB" w:rsidRPr="009D29AB" w14:paraId="6CEBCB81" w14:textId="77777777" w:rsidTr="000C43EC">
        <w:trPr>
          <w:trHeight w:hRule="exact" w:val="570"/>
        </w:trPr>
        <w:tc>
          <w:tcPr>
            <w:tcW w:w="2394" w:type="dxa"/>
            <w:shd w:val="clear" w:color="auto" w:fill="auto"/>
            <w:vAlign w:val="center"/>
          </w:tcPr>
          <w:p w14:paraId="5E059BE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Czechy</w:t>
            </w:r>
          </w:p>
        </w:tc>
        <w:tc>
          <w:tcPr>
            <w:tcW w:w="2394" w:type="dxa"/>
            <w:shd w:val="clear" w:color="auto" w:fill="auto"/>
            <w:vAlign w:val="center"/>
          </w:tcPr>
          <w:p w14:paraId="1839F1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2 000 000 000</w:t>
            </w:r>
          </w:p>
        </w:tc>
        <w:tc>
          <w:tcPr>
            <w:tcW w:w="2394" w:type="dxa"/>
            <w:shd w:val="clear" w:color="auto" w:fill="auto"/>
            <w:vAlign w:val="center"/>
          </w:tcPr>
          <w:p w14:paraId="01E782BB" w14:textId="0207AE0A"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298EF8C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2020/1345</w:t>
            </w:r>
          </w:p>
        </w:tc>
      </w:tr>
      <w:tr w:rsidR="009D29AB" w:rsidRPr="009D29AB" w14:paraId="12D36EE8" w14:textId="77777777" w:rsidTr="000C43EC">
        <w:trPr>
          <w:trHeight w:hRule="exact" w:val="564"/>
        </w:trPr>
        <w:tc>
          <w:tcPr>
            <w:tcW w:w="2394" w:type="dxa"/>
            <w:shd w:val="clear" w:color="auto" w:fill="auto"/>
            <w:vAlign w:val="center"/>
          </w:tcPr>
          <w:p w14:paraId="2CEB0E7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Grecja</w:t>
            </w:r>
          </w:p>
        </w:tc>
        <w:tc>
          <w:tcPr>
            <w:tcW w:w="2394" w:type="dxa"/>
            <w:shd w:val="clear" w:color="auto" w:fill="auto"/>
            <w:vAlign w:val="center"/>
          </w:tcPr>
          <w:p w14:paraId="50960B8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2 728 000 000</w:t>
            </w:r>
          </w:p>
        </w:tc>
        <w:tc>
          <w:tcPr>
            <w:tcW w:w="2394" w:type="dxa"/>
            <w:shd w:val="clear" w:color="auto" w:fill="auto"/>
            <w:vAlign w:val="center"/>
          </w:tcPr>
          <w:p w14:paraId="2745D56C" w14:textId="1E71BE0F"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3D1968B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2020/1346</w:t>
            </w:r>
          </w:p>
        </w:tc>
      </w:tr>
      <w:tr w:rsidR="009D29AB" w:rsidRPr="009D29AB" w14:paraId="61EA3131" w14:textId="77777777" w:rsidTr="000C43EC">
        <w:trPr>
          <w:trHeight w:hRule="exact" w:val="572"/>
        </w:trPr>
        <w:tc>
          <w:tcPr>
            <w:tcW w:w="2394" w:type="dxa"/>
            <w:shd w:val="clear" w:color="auto" w:fill="auto"/>
            <w:vAlign w:val="center"/>
          </w:tcPr>
          <w:p w14:paraId="54526AC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Hiszpania</w:t>
            </w:r>
          </w:p>
        </w:tc>
        <w:tc>
          <w:tcPr>
            <w:tcW w:w="2394" w:type="dxa"/>
            <w:shd w:val="clear" w:color="auto" w:fill="auto"/>
            <w:vAlign w:val="center"/>
          </w:tcPr>
          <w:p w14:paraId="78D6825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21 324 820 449</w:t>
            </w:r>
          </w:p>
        </w:tc>
        <w:tc>
          <w:tcPr>
            <w:tcW w:w="2394" w:type="dxa"/>
            <w:shd w:val="clear" w:color="auto" w:fill="auto"/>
            <w:vAlign w:val="center"/>
          </w:tcPr>
          <w:p w14:paraId="58526891" w14:textId="4B4F2010"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6C82685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2020/1347</w:t>
            </w:r>
          </w:p>
        </w:tc>
      </w:tr>
      <w:tr w:rsidR="009D29AB" w:rsidRPr="009D29AB" w14:paraId="43A8BD79" w14:textId="77777777" w:rsidTr="000C43EC">
        <w:trPr>
          <w:trHeight w:hRule="exact" w:val="566"/>
        </w:trPr>
        <w:tc>
          <w:tcPr>
            <w:tcW w:w="2394" w:type="dxa"/>
            <w:shd w:val="clear" w:color="auto" w:fill="auto"/>
            <w:vAlign w:val="center"/>
          </w:tcPr>
          <w:p w14:paraId="706DFF3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Chorwacja</w:t>
            </w:r>
          </w:p>
        </w:tc>
        <w:tc>
          <w:tcPr>
            <w:tcW w:w="2394" w:type="dxa"/>
            <w:shd w:val="clear" w:color="auto" w:fill="auto"/>
            <w:vAlign w:val="center"/>
          </w:tcPr>
          <w:p w14:paraId="46E5AA37"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1 020 600 000</w:t>
            </w:r>
          </w:p>
        </w:tc>
        <w:tc>
          <w:tcPr>
            <w:tcW w:w="2394" w:type="dxa"/>
            <w:shd w:val="clear" w:color="auto" w:fill="auto"/>
            <w:vAlign w:val="center"/>
          </w:tcPr>
          <w:p w14:paraId="73BFDEE9" w14:textId="1C7F75BA"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22D7962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2020/1348</w:t>
            </w:r>
          </w:p>
        </w:tc>
      </w:tr>
      <w:tr w:rsidR="009D29AB" w:rsidRPr="009D29AB" w14:paraId="18DB4E38" w14:textId="77777777" w:rsidTr="000C43EC">
        <w:trPr>
          <w:trHeight w:hRule="exact" w:val="560"/>
        </w:trPr>
        <w:tc>
          <w:tcPr>
            <w:tcW w:w="2394" w:type="dxa"/>
            <w:shd w:val="clear" w:color="auto" w:fill="auto"/>
            <w:vAlign w:val="center"/>
          </w:tcPr>
          <w:p w14:paraId="3B799A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Włochy</w:t>
            </w:r>
          </w:p>
        </w:tc>
        <w:tc>
          <w:tcPr>
            <w:tcW w:w="2394" w:type="dxa"/>
            <w:shd w:val="clear" w:color="auto" w:fill="auto"/>
            <w:vAlign w:val="center"/>
          </w:tcPr>
          <w:p w14:paraId="431EAA0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27 438 486 464</w:t>
            </w:r>
          </w:p>
        </w:tc>
        <w:tc>
          <w:tcPr>
            <w:tcW w:w="2394" w:type="dxa"/>
            <w:shd w:val="clear" w:color="auto" w:fill="auto"/>
            <w:vAlign w:val="center"/>
          </w:tcPr>
          <w:p w14:paraId="0A6D3A77" w14:textId="4282287F"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1B68A6F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2020/1349</w:t>
            </w:r>
          </w:p>
        </w:tc>
      </w:tr>
      <w:tr w:rsidR="009D29AB" w:rsidRPr="009D29AB" w14:paraId="4C114D67" w14:textId="77777777" w:rsidTr="000C43EC">
        <w:trPr>
          <w:trHeight w:hRule="exact" w:val="568"/>
        </w:trPr>
        <w:tc>
          <w:tcPr>
            <w:tcW w:w="2394" w:type="dxa"/>
            <w:shd w:val="clear" w:color="auto" w:fill="auto"/>
            <w:vAlign w:val="center"/>
          </w:tcPr>
          <w:p w14:paraId="30547C0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Litwa</w:t>
            </w:r>
          </w:p>
        </w:tc>
        <w:tc>
          <w:tcPr>
            <w:tcW w:w="2394" w:type="dxa"/>
            <w:shd w:val="clear" w:color="auto" w:fill="auto"/>
            <w:vAlign w:val="center"/>
          </w:tcPr>
          <w:p w14:paraId="34280A6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602 310 000</w:t>
            </w:r>
          </w:p>
        </w:tc>
        <w:tc>
          <w:tcPr>
            <w:tcW w:w="2394" w:type="dxa"/>
            <w:shd w:val="clear" w:color="auto" w:fill="auto"/>
            <w:vAlign w:val="center"/>
          </w:tcPr>
          <w:p w14:paraId="7F2367FB" w14:textId="5AF755B2"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0C58F73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2020/1350</w:t>
            </w:r>
          </w:p>
        </w:tc>
      </w:tr>
      <w:tr w:rsidR="009D29AB" w:rsidRPr="009D29AB" w14:paraId="6E00EC5A" w14:textId="77777777" w:rsidTr="000C43EC">
        <w:trPr>
          <w:trHeight w:hRule="exact" w:val="576"/>
        </w:trPr>
        <w:tc>
          <w:tcPr>
            <w:tcW w:w="2394" w:type="dxa"/>
            <w:shd w:val="clear" w:color="auto" w:fill="auto"/>
            <w:vAlign w:val="center"/>
          </w:tcPr>
          <w:p w14:paraId="4ED3406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Łotwa</w:t>
            </w:r>
          </w:p>
        </w:tc>
        <w:tc>
          <w:tcPr>
            <w:tcW w:w="2394" w:type="dxa"/>
            <w:shd w:val="clear" w:color="auto" w:fill="auto"/>
            <w:vAlign w:val="center"/>
          </w:tcPr>
          <w:p w14:paraId="1959D2E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192 700 000</w:t>
            </w:r>
          </w:p>
        </w:tc>
        <w:tc>
          <w:tcPr>
            <w:tcW w:w="2394" w:type="dxa"/>
            <w:shd w:val="clear" w:color="auto" w:fill="auto"/>
            <w:vAlign w:val="center"/>
          </w:tcPr>
          <w:p w14:paraId="25FBF56E" w14:textId="489A42CB"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4E0341D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2020/1351</w:t>
            </w:r>
          </w:p>
        </w:tc>
      </w:tr>
      <w:tr w:rsidR="009D29AB" w:rsidRPr="009D29AB" w14:paraId="59C83738" w14:textId="77777777" w:rsidTr="000C43EC">
        <w:trPr>
          <w:trHeight w:hRule="exact" w:val="556"/>
        </w:trPr>
        <w:tc>
          <w:tcPr>
            <w:tcW w:w="2394" w:type="dxa"/>
            <w:shd w:val="clear" w:color="auto" w:fill="auto"/>
            <w:vAlign w:val="center"/>
          </w:tcPr>
          <w:p w14:paraId="34783B72"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Malta</w:t>
            </w:r>
          </w:p>
        </w:tc>
        <w:tc>
          <w:tcPr>
            <w:tcW w:w="2394" w:type="dxa"/>
            <w:shd w:val="clear" w:color="auto" w:fill="auto"/>
            <w:vAlign w:val="center"/>
          </w:tcPr>
          <w:p w14:paraId="038D5CE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243 632 000</w:t>
            </w:r>
          </w:p>
        </w:tc>
        <w:tc>
          <w:tcPr>
            <w:tcW w:w="2394" w:type="dxa"/>
            <w:shd w:val="clear" w:color="auto" w:fill="auto"/>
            <w:vAlign w:val="center"/>
          </w:tcPr>
          <w:p w14:paraId="6131F79C" w14:textId="0675C03D"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54F518E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2020/1352</w:t>
            </w:r>
          </w:p>
        </w:tc>
      </w:tr>
      <w:tr w:rsidR="009D29AB" w:rsidRPr="009D29AB" w14:paraId="5E8D9AE3" w14:textId="77777777" w:rsidTr="000C43EC">
        <w:trPr>
          <w:trHeight w:hRule="exact" w:val="578"/>
        </w:trPr>
        <w:tc>
          <w:tcPr>
            <w:tcW w:w="2394" w:type="dxa"/>
            <w:shd w:val="clear" w:color="auto" w:fill="auto"/>
            <w:vAlign w:val="center"/>
          </w:tcPr>
          <w:p w14:paraId="70FB441F"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Polska</w:t>
            </w:r>
          </w:p>
        </w:tc>
        <w:tc>
          <w:tcPr>
            <w:tcW w:w="2394" w:type="dxa"/>
            <w:shd w:val="clear" w:color="auto" w:fill="auto"/>
            <w:vAlign w:val="center"/>
          </w:tcPr>
          <w:p w14:paraId="72713E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11 236 693 087</w:t>
            </w:r>
          </w:p>
        </w:tc>
        <w:tc>
          <w:tcPr>
            <w:tcW w:w="2394" w:type="dxa"/>
            <w:shd w:val="clear" w:color="auto" w:fill="auto"/>
            <w:vAlign w:val="center"/>
          </w:tcPr>
          <w:p w14:paraId="7D8589CF" w14:textId="72294EC3"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0704CF3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2020/1353</w:t>
            </w:r>
          </w:p>
        </w:tc>
      </w:tr>
      <w:tr w:rsidR="009D29AB" w:rsidRPr="009D29AB" w14:paraId="771E32FC" w14:textId="77777777" w:rsidTr="000C43EC">
        <w:trPr>
          <w:trHeight w:hRule="exact" w:val="558"/>
        </w:trPr>
        <w:tc>
          <w:tcPr>
            <w:tcW w:w="2394" w:type="dxa"/>
            <w:shd w:val="clear" w:color="auto" w:fill="auto"/>
            <w:vAlign w:val="center"/>
          </w:tcPr>
          <w:p w14:paraId="797BD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Portugalia</w:t>
            </w:r>
          </w:p>
        </w:tc>
        <w:tc>
          <w:tcPr>
            <w:tcW w:w="2394" w:type="dxa"/>
            <w:shd w:val="clear" w:color="auto" w:fill="auto"/>
            <w:vAlign w:val="center"/>
          </w:tcPr>
          <w:p w14:paraId="1FA51E7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5 934 462 488</w:t>
            </w:r>
          </w:p>
        </w:tc>
        <w:tc>
          <w:tcPr>
            <w:tcW w:w="2394" w:type="dxa"/>
            <w:shd w:val="clear" w:color="auto" w:fill="auto"/>
            <w:vAlign w:val="center"/>
          </w:tcPr>
          <w:p w14:paraId="1C8F25AF" w14:textId="0F6F7B4D"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3AA56B9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2020/1354</w:t>
            </w:r>
          </w:p>
        </w:tc>
      </w:tr>
      <w:tr w:rsidR="009D29AB" w:rsidRPr="009D29AB" w14:paraId="076943E2" w14:textId="77777777" w:rsidTr="000C43EC">
        <w:trPr>
          <w:trHeight w:hRule="exact" w:val="566"/>
        </w:trPr>
        <w:tc>
          <w:tcPr>
            <w:tcW w:w="2394" w:type="dxa"/>
            <w:shd w:val="clear" w:color="auto" w:fill="auto"/>
            <w:vAlign w:val="center"/>
          </w:tcPr>
          <w:p w14:paraId="5C96DC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Rumunia</w:t>
            </w:r>
          </w:p>
        </w:tc>
        <w:tc>
          <w:tcPr>
            <w:tcW w:w="2394" w:type="dxa"/>
            <w:shd w:val="clear" w:color="auto" w:fill="auto"/>
            <w:vAlign w:val="center"/>
          </w:tcPr>
          <w:p w14:paraId="228DEEB5"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4 099 244 587</w:t>
            </w:r>
          </w:p>
        </w:tc>
        <w:tc>
          <w:tcPr>
            <w:tcW w:w="2394" w:type="dxa"/>
            <w:shd w:val="clear" w:color="auto" w:fill="auto"/>
            <w:vAlign w:val="center"/>
          </w:tcPr>
          <w:p w14:paraId="3A0B57D7" w14:textId="3CDAEEC1"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6035B4E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2020/1355</w:t>
            </w:r>
          </w:p>
        </w:tc>
      </w:tr>
      <w:tr w:rsidR="009D29AB" w:rsidRPr="009D29AB" w14:paraId="3273F009" w14:textId="77777777" w:rsidTr="000C43EC">
        <w:trPr>
          <w:trHeight w:hRule="exact" w:val="574"/>
        </w:trPr>
        <w:tc>
          <w:tcPr>
            <w:tcW w:w="2394" w:type="dxa"/>
            <w:shd w:val="clear" w:color="auto" w:fill="auto"/>
            <w:vAlign w:val="center"/>
          </w:tcPr>
          <w:p w14:paraId="6C5DD94A"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Słowenia</w:t>
            </w:r>
          </w:p>
        </w:tc>
        <w:tc>
          <w:tcPr>
            <w:tcW w:w="2394" w:type="dxa"/>
            <w:shd w:val="clear" w:color="auto" w:fill="auto"/>
            <w:vAlign w:val="center"/>
          </w:tcPr>
          <w:p w14:paraId="6765E1D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1 113 670 000</w:t>
            </w:r>
          </w:p>
        </w:tc>
        <w:tc>
          <w:tcPr>
            <w:tcW w:w="2394" w:type="dxa"/>
            <w:shd w:val="clear" w:color="auto" w:fill="auto"/>
            <w:vAlign w:val="center"/>
          </w:tcPr>
          <w:p w14:paraId="4A950B88" w14:textId="24B8D989"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52E83CD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2020/1356</w:t>
            </w:r>
          </w:p>
        </w:tc>
      </w:tr>
      <w:tr w:rsidR="009D29AB" w:rsidRPr="009D29AB" w14:paraId="3E652DE1" w14:textId="77777777" w:rsidTr="000C43EC">
        <w:trPr>
          <w:trHeight w:hRule="exact" w:val="568"/>
        </w:trPr>
        <w:tc>
          <w:tcPr>
            <w:tcW w:w="2394" w:type="dxa"/>
            <w:shd w:val="clear" w:color="auto" w:fill="auto"/>
            <w:vAlign w:val="center"/>
          </w:tcPr>
          <w:p w14:paraId="24CC4584"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Słowacja</w:t>
            </w:r>
          </w:p>
        </w:tc>
        <w:tc>
          <w:tcPr>
            <w:tcW w:w="2394" w:type="dxa"/>
            <w:shd w:val="clear" w:color="auto" w:fill="auto"/>
            <w:vAlign w:val="center"/>
          </w:tcPr>
          <w:p w14:paraId="4B938DE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630 883 600</w:t>
            </w:r>
          </w:p>
        </w:tc>
        <w:tc>
          <w:tcPr>
            <w:tcW w:w="2394" w:type="dxa"/>
            <w:shd w:val="clear" w:color="auto" w:fill="auto"/>
            <w:vAlign w:val="center"/>
          </w:tcPr>
          <w:p w14:paraId="76B8A70B" w14:textId="1B89984F"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wrzesień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24ED4B0E"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2020/1357</w:t>
            </w:r>
          </w:p>
        </w:tc>
      </w:tr>
      <w:tr w:rsidR="009D29AB" w:rsidRPr="009D29AB" w14:paraId="48391C78" w14:textId="77777777" w:rsidTr="000C43EC">
        <w:trPr>
          <w:trHeight w:hRule="exact" w:val="562"/>
        </w:trPr>
        <w:tc>
          <w:tcPr>
            <w:tcW w:w="2394" w:type="dxa"/>
            <w:shd w:val="clear" w:color="auto" w:fill="auto"/>
            <w:vAlign w:val="center"/>
          </w:tcPr>
          <w:p w14:paraId="4A9DE9C1"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Węgry</w:t>
            </w:r>
          </w:p>
        </w:tc>
        <w:tc>
          <w:tcPr>
            <w:tcW w:w="2394" w:type="dxa"/>
            <w:shd w:val="clear" w:color="auto" w:fill="auto"/>
            <w:vAlign w:val="center"/>
          </w:tcPr>
          <w:p w14:paraId="271D62DD"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504 330 000</w:t>
            </w:r>
          </w:p>
        </w:tc>
        <w:tc>
          <w:tcPr>
            <w:tcW w:w="2394" w:type="dxa"/>
            <w:shd w:val="clear" w:color="auto" w:fill="auto"/>
            <w:vAlign w:val="center"/>
          </w:tcPr>
          <w:p w14:paraId="2D667248" w14:textId="34C55DFE"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październik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4E3AFE43"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2020/1561</w:t>
            </w:r>
          </w:p>
        </w:tc>
      </w:tr>
      <w:tr w:rsidR="009D29AB" w:rsidRPr="009D29AB" w14:paraId="4D6BF5B6" w14:textId="77777777" w:rsidTr="000C43EC">
        <w:trPr>
          <w:trHeight w:hRule="exact" w:val="570"/>
        </w:trPr>
        <w:tc>
          <w:tcPr>
            <w:tcW w:w="2394" w:type="dxa"/>
            <w:shd w:val="clear" w:color="auto" w:fill="auto"/>
            <w:vAlign w:val="center"/>
          </w:tcPr>
          <w:p w14:paraId="5205F00C"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Irlandia</w:t>
            </w:r>
          </w:p>
        </w:tc>
        <w:tc>
          <w:tcPr>
            <w:tcW w:w="2394" w:type="dxa"/>
            <w:shd w:val="clear" w:color="auto" w:fill="auto"/>
            <w:vAlign w:val="center"/>
          </w:tcPr>
          <w:p w14:paraId="48D6EF00"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color w:val="000000"/>
                <w:sz w:val="20"/>
              </w:rPr>
              <w:t>2 473 887 900</w:t>
            </w:r>
          </w:p>
        </w:tc>
        <w:tc>
          <w:tcPr>
            <w:tcW w:w="2394" w:type="dxa"/>
            <w:shd w:val="clear" w:color="auto" w:fill="auto"/>
            <w:vAlign w:val="center"/>
          </w:tcPr>
          <w:p w14:paraId="789BA964" w14:textId="12E8515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grudzień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tc>
        <w:tc>
          <w:tcPr>
            <w:tcW w:w="2394" w:type="dxa"/>
            <w:shd w:val="clear" w:color="auto" w:fill="auto"/>
            <w:vAlign w:val="center"/>
          </w:tcPr>
          <w:p w14:paraId="06BE4BBB"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sz w:val="20"/>
              </w:rPr>
              <w:t>Decyzja wykonawcza Rady (UE) 2020/2005</w:t>
            </w:r>
          </w:p>
        </w:tc>
      </w:tr>
      <w:tr w:rsidR="009D29AB" w:rsidRPr="009D29AB" w14:paraId="26BAA195" w14:textId="77777777" w:rsidTr="00D61F7B">
        <w:trPr>
          <w:trHeight w:hRule="exact" w:val="232"/>
        </w:trPr>
        <w:tc>
          <w:tcPr>
            <w:tcW w:w="2394" w:type="dxa"/>
            <w:shd w:val="clear" w:color="auto" w:fill="auto"/>
            <w:vAlign w:val="center"/>
          </w:tcPr>
          <w:p w14:paraId="41BE2A79" w14:textId="77777777" w:rsidR="009D29AB" w:rsidRPr="009D29AB" w:rsidRDefault="009D29AB" w:rsidP="009D29AB">
            <w:pPr>
              <w:contextualSpacing/>
              <w:jc w:val="center"/>
              <w:rPr>
                <w:rFonts w:ascii="Times New Roman" w:hAnsi="Times New Roman" w:cs="Times New Roman"/>
                <w:sz w:val="20"/>
              </w:rPr>
            </w:pPr>
            <w:r>
              <w:rPr>
                <w:rFonts w:ascii="Times New Roman" w:hAnsi="Times New Roman"/>
                <w:b/>
                <w:color w:val="000000"/>
                <w:sz w:val="20"/>
              </w:rPr>
              <w:t>Ogółem</w:t>
            </w:r>
          </w:p>
        </w:tc>
        <w:tc>
          <w:tcPr>
            <w:tcW w:w="2394" w:type="dxa"/>
            <w:shd w:val="clear" w:color="auto" w:fill="auto"/>
            <w:vAlign w:val="center"/>
          </w:tcPr>
          <w:p w14:paraId="37703841" w14:textId="77777777" w:rsidR="009D29AB" w:rsidRPr="009D29AB" w:rsidRDefault="009D29AB" w:rsidP="009D29AB">
            <w:pPr>
              <w:contextualSpacing/>
              <w:jc w:val="center"/>
              <w:rPr>
                <w:rFonts w:ascii="Times New Roman" w:hAnsi="Times New Roman" w:cs="Times New Roman"/>
                <w:b/>
                <w:sz w:val="20"/>
              </w:rPr>
            </w:pPr>
            <w:r>
              <w:rPr>
                <w:rFonts w:ascii="Times New Roman" w:hAnsi="Times New Roman"/>
                <w:b/>
                <w:sz w:val="20"/>
              </w:rPr>
              <w:t>90 337 170 575</w:t>
            </w:r>
          </w:p>
        </w:tc>
        <w:tc>
          <w:tcPr>
            <w:tcW w:w="2394" w:type="dxa"/>
            <w:shd w:val="clear" w:color="auto" w:fill="auto"/>
            <w:vAlign w:val="center"/>
          </w:tcPr>
          <w:p w14:paraId="672AD659" w14:textId="77777777" w:rsidR="009D29AB" w:rsidRPr="009D29AB" w:rsidRDefault="009D29AB" w:rsidP="009D29AB">
            <w:pPr>
              <w:contextualSpacing/>
              <w:jc w:val="center"/>
              <w:rPr>
                <w:rFonts w:ascii="Times New Roman" w:hAnsi="Times New Roman" w:cs="Times New Roman"/>
                <w:sz w:val="20"/>
                <w:lang w:val="en-GB"/>
              </w:rPr>
            </w:pPr>
          </w:p>
        </w:tc>
        <w:tc>
          <w:tcPr>
            <w:tcW w:w="2394" w:type="dxa"/>
            <w:shd w:val="clear" w:color="auto" w:fill="auto"/>
            <w:vAlign w:val="center"/>
          </w:tcPr>
          <w:p w14:paraId="716E1222" w14:textId="77777777" w:rsidR="009D29AB" w:rsidRPr="009D29AB" w:rsidRDefault="009D29AB" w:rsidP="009D29AB">
            <w:pPr>
              <w:contextualSpacing/>
              <w:jc w:val="center"/>
              <w:rPr>
                <w:rFonts w:ascii="Times New Roman" w:hAnsi="Times New Roman" w:cs="Times New Roman"/>
                <w:sz w:val="20"/>
                <w:lang w:val="en-GB"/>
              </w:rPr>
            </w:pPr>
          </w:p>
        </w:tc>
      </w:tr>
    </w:tbl>
    <w:p w14:paraId="60D59516" w14:textId="77777777" w:rsidR="009D29AB" w:rsidRPr="009D29AB" w:rsidRDefault="009D29AB" w:rsidP="009D29AB">
      <w:pPr>
        <w:spacing w:before="120" w:after="120"/>
        <w:rPr>
          <w:rFonts w:ascii="Times New Roman" w:hAnsi="Times New Roman" w:cs="Times New Roman"/>
          <w:sz w:val="24"/>
          <w:lang w:val="en-GB"/>
        </w:rPr>
      </w:pPr>
    </w:p>
    <w:p w14:paraId="7CC56386" w14:textId="77777777" w:rsidR="009D29AB" w:rsidRPr="009D29AB" w:rsidRDefault="009D29AB" w:rsidP="009D29AB">
      <w:pPr>
        <w:spacing w:before="120" w:after="120"/>
        <w:jc w:val="both"/>
        <w:rPr>
          <w:rFonts w:ascii="Times New Roman" w:hAnsi="Times New Roman" w:cs="Times New Roman"/>
          <w:i/>
          <w:color w:val="000000" w:themeColor="text1"/>
          <w:sz w:val="24"/>
        </w:rPr>
      </w:pPr>
      <w:r>
        <w:rPr>
          <w:rFonts w:ascii="Times New Roman" w:hAnsi="Times New Roman"/>
          <w:i/>
          <w:color w:val="000000" w:themeColor="text1"/>
          <w:sz w:val="24"/>
        </w:rPr>
        <w:t xml:space="preserve"> (ii) Wypłata, pozostające kwoty należne oraz mający zastosowanie harmonogram spłat </w:t>
      </w:r>
    </w:p>
    <w:p w14:paraId="3B881985" w14:textId="09C1AE9B" w:rsidR="009D29AB" w:rsidRPr="009D29AB" w:rsidRDefault="009D29AB" w:rsidP="009D29AB">
      <w:pPr>
        <w:spacing w:before="120" w:after="120"/>
        <w:jc w:val="both"/>
        <w:rPr>
          <w:rFonts w:ascii="Times New Roman" w:hAnsi="Times New Roman" w:cs="Times New Roman"/>
          <w:b/>
          <w:color w:val="000000" w:themeColor="text1"/>
          <w:sz w:val="24"/>
        </w:rPr>
      </w:pPr>
      <w:r>
        <w:rPr>
          <w:rFonts w:ascii="Times New Roman" w:hAnsi="Times New Roman"/>
          <w:b/>
          <w:color w:val="000000" w:themeColor="text1"/>
          <w:sz w:val="24"/>
        </w:rPr>
        <w:t>Komisja odpowiada za operacje zaciągnięcia pożyczek.</w:t>
      </w:r>
      <w:r>
        <w:rPr>
          <w:rFonts w:ascii="Times New Roman" w:hAnsi="Times New Roman"/>
          <w:color w:val="000000" w:themeColor="text1"/>
          <w:sz w:val="24"/>
        </w:rPr>
        <w:t xml:space="preserve"> Zgodnie</w:t>
      </w:r>
      <w:r w:rsidR="00A467B6">
        <w:rPr>
          <w:rFonts w:ascii="Times New Roman" w:hAnsi="Times New Roman"/>
          <w:color w:val="000000" w:themeColor="text1"/>
          <w:sz w:val="24"/>
        </w:rPr>
        <w:t xml:space="preserve"> z roz</w:t>
      </w:r>
      <w:r>
        <w:rPr>
          <w:rFonts w:ascii="Times New Roman" w:hAnsi="Times New Roman"/>
          <w:color w:val="000000" w:themeColor="text1"/>
          <w:sz w:val="24"/>
        </w:rPr>
        <w:t>porządzeniem</w:t>
      </w:r>
      <w:r w:rsidR="00A467B6">
        <w:rPr>
          <w:rFonts w:ascii="Times New Roman" w:hAnsi="Times New Roman"/>
          <w:color w:val="000000" w:themeColor="text1"/>
          <w:sz w:val="24"/>
        </w:rPr>
        <w:t xml:space="preserve"> w spr</w:t>
      </w:r>
      <w:r>
        <w:rPr>
          <w:rFonts w:ascii="Times New Roman" w:hAnsi="Times New Roman"/>
          <w:color w:val="000000" w:themeColor="text1"/>
          <w:sz w:val="24"/>
        </w:rPr>
        <w:t>awie SURE Komisja jest upoważniona do zaciągania pożyczek</w:t>
      </w:r>
      <w:r w:rsidR="00A467B6">
        <w:rPr>
          <w:rFonts w:ascii="Times New Roman" w:hAnsi="Times New Roman"/>
          <w:color w:val="000000" w:themeColor="text1"/>
          <w:sz w:val="24"/>
        </w:rPr>
        <w:t xml:space="preserve"> w imi</w:t>
      </w:r>
      <w:r>
        <w:rPr>
          <w:rFonts w:ascii="Times New Roman" w:hAnsi="Times New Roman"/>
          <w:color w:val="000000" w:themeColor="text1"/>
          <w:sz w:val="24"/>
        </w:rPr>
        <w:t>eniu Unii na rynkach kapitałowych lub od instytucji finansowych</w:t>
      </w:r>
      <w:r w:rsidR="00A467B6">
        <w:rPr>
          <w:rFonts w:ascii="Times New Roman" w:hAnsi="Times New Roman"/>
          <w:color w:val="000000" w:themeColor="text1"/>
          <w:sz w:val="24"/>
        </w:rPr>
        <w:t xml:space="preserve"> w cel</w:t>
      </w:r>
      <w:r>
        <w:rPr>
          <w:rFonts w:ascii="Times New Roman" w:hAnsi="Times New Roman"/>
          <w:color w:val="000000" w:themeColor="text1"/>
          <w:sz w:val="24"/>
        </w:rPr>
        <w:t>u finansowania pożyczek udzielanych</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SURE (pożyczki wzajemne)</w:t>
      </w:r>
      <w:r>
        <w:rPr>
          <w:rFonts w:ascii="Times New Roman" w:hAnsi="Times New Roman" w:cs="Times New Roman"/>
          <w:color w:val="000000" w:themeColor="text1"/>
          <w:sz w:val="24"/>
          <w:vertAlign w:val="superscript"/>
        </w:rPr>
        <w:footnoteReference w:id="16"/>
      </w:r>
      <w:r>
        <w:rPr>
          <w:rFonts w:ascii="Times New Roman" w:hAnsi="Times New Roman"/>
          <w:color w:val="000000" w:themeColor="text1"/>
          <w:sz w:val="24"/>
        </w:rPr>
        <w:t xml:space="preserve">. </w:t>
      </w:r>
    </w:p>
    <w:p w14:paraId="6F47D74F" w14:textId="3C37A379"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Komisja zaczęła zaciągać pożyczki</w:t>
      </w:r>
      <w:r w:rsidR="00A467B6">
        <w:rPr>
          <w:rFonts w:ascii="Times New Roman" w:hAnsi="Times New Roman"/>
          <w:b/>
          <w:color w:val="000000" w:themeColor="text1"/>
          <w:sz w:val="24"/>
        </w:rPr>
        <w:t xml:space="preserve"> w imi</w:t>
      </w:r>
      <w:r>
        <w:rPr>
          <w:rFonts w:ascii="Times New Roman" w:hAnsi="Times New Roman"/>
          <w:b/>
          <w:color w:val="000000" w:themeColor="text1"/>
          <w:sz w:val="24"/>
        </w:rPr>
        <w:t>eniu UE na rynkach kapitałowych, emitując obligacje społeczne na krótko po podpisaniu umów pożyczek</w:t>
      </w:r>
      <w:r w:rsidR="00A467B6">
        <w:rPr>
          <w:rFonts w:ascii="Times New Roman" w:hAnsi="Times New Roman"/>
          <w:b/>
          <w:color w:val="000000" w:themeColor="text1"/>
          <w:sz w:val="24"/>
        </w:rPr>
        <w:t xml:space="preserve"> w paź</w:t>
      </w:r>
      <w:r>
        <w:rPr>
          <w:rFonts w:ascii="Times New Roman" w:hAnsi="Times New Roman"/>
          <w:b/>
          <w:color w:val="000000" w:themeColor="text1"/>
          <w:sz w:val="24"/>
        </w:rPr>
        <w:t>dzierniku 20</w:t>
      </w:r>
      <w:r w:rsidRPr="00A467B6">
        <w:rPr>
          <w:rFonts w:ascii="Times New Roman" w:hAnsi="Times New Roman"/>
          <w:b/>
          <w:color w:val="000000" w:themeColor="text1"/>
          <w:sz w:val="24"/>
        </w:rPr>
        <w:t>20</w:t>
      </w:r>
      <w:r w:rsidR="00A467B6" w:rsidRPr="00A467B6">
        <w:rPr>
          <w:rFonts w:ascii="Times New Roman" w:hAnsi="Times New Roman"/>
          <w:b/>
          <w:color w:val="000000" w:themeColor="text1"/>
          <w:sz w:val="24"/>
        </w:rPr>
        <w:t> </w:t>
      </w:r>
      <w:r w:rsidRPr="00A467B6">
        <w:rPr>
          <w:rFonts w:ascii="Times New Roman" w:hAnsi="Times New Roman"/>
          <w:b/>
          <w:color w:val="000000" w:themeColor="text1"/>
          <w:sz w:val="24"/>
        </w:rPr>
        <w:t>r.</w:t>
      </w:r>
      <w:r>
        <w:rPr>
          <w:rFonts w:ascii="Times New Roman" w:hAnsi="Times New Roman"/>
          <w:color w:val="000000" w:themeColor="text1"/>
          <w:sz w:val="24"/>
        </w:rPr>
        <w:t xml:space="preserve"> </w:t>
      </w:r>
      <w:r>
        <w:rPr>
          <w:rFonts w:ascii="Times New Roman" w:hAnsi="Times New Roman"/>
          <w:color w:val="000000" w:themeColor="text1"/>
          <w:sz w:val="24"/>
          <w:szCs w:val="24"/>
        </w:rPr>
        <w:t>Proces emisji obligacji przebiegał</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 xml:space="preserve">ach serii transakcji finansowych. </w:t>
      </w:r>
      <w:r>
        <w:rPr>
          <w:rFonts w:ascii="Times New Roman" w:hAnsi="Times New Roman"/>
          <w:color w:val="000000" w:themeColor="text1"/>
          <w:sz w:val="24"/>
        </w:rPr>
        <w:t>Jak dotąd przeprowadzono łącznie cztery transakcje, które opisano poniżej. Emisje zakończyły się bardzo dużym sukcesem –</w:t>
      </w:r>
      <w:r w:rsidR="00A467B6">
        <w:rPr>
          <w:rFonts w:ascii="Times New Roman" w:hAnsi="Times New Roman"/>
          <w:color w:val="000000" w:themeColor="text1"/>
          <w:sz w:val="24"/>
        </w:rPr>
        <w:t xml:space="preserve"> w wyn</w:t>
      </w:r>
      <w:r>
        <w:rPr>
          <w:rFonts w:ascii="Times New Roman" w:hAnsi="Times New Roman"/>
          <w:color w:val="000000" w:themeColor="text1"/>
          <w:sz w:val="24"/>
        </w:rPr>
        <w:t>iku silnego zainteresowania ze strony inwestorów osiągnięto korzystne warunki cenowe</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wszystkich transzy (zob. tabela 3). Na koniec lutego 20</w:t>
      </w:r>
      <w:r w:rsidRPr="00A467B6">
        <w:rPr>
          <w:rFonts w:ascii="Times New Roman" w:hAnsi="Times New Roman"/>
          <w:color w:val="000000" w:themeColor="text1"/>
          <w:sz w:val="24"/>
        </w:rPr>
        <w:t>21</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4 wypłat 15 państw członkowskich otrzymało łącznie 53,5 mld EUR, czyli 5</w:t>
      </w:r>
      <w:r w:rsidRPr="00A467B6">
        <w:rPr>
          <w:rFonts w:ascii="Times New Roman" w:hAnsi="Times New Roman"/>
          <w:color w:val="000000" w:themeColor="text1"/>
          <w:sz w:val="24"/>
        </w:rPr>
        <w:t>9</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w:t>
      </w:r>
      <w:r>
        <w:rPr>
          <w:rFonts w:ascii="Times New Roman" w:hAnsi="Times New Roman"/>
          <w:color w:val="000000" w:themeColor="text1"/>
          <w:sz w:val="24"/>
        </w:rPr>
        <w:t xml:space="preserve"> kwoty 90,3 mld EUR,</w:t>
      </w:r>
      <w:r w:rsidR="00A467B6">
        <w:rPr>
          <w:rFonts w:ascii="Times New Roman" w:hAnsi="Times New Roman"/>
          <w:color w:val="000000" w:themeColor="text1"/>
          <w:sz w:val="24"/>
        </w:rPr>
        <w:t xml:space="preserve"> o któ</w:t>
      </w:r>
      <w:r>
        <w:rPr>
          <w:rFonts w:ascii="Times New Roman" w:hAnsi="Times New Roman"/>
          <w:color w:val="000000" w:themeColor="text1"/>
          <w:sz w:val="24"/>
        </w:rPr>
        <w:t>rą wystąpiono. Termin zapadalności wyemitowanych obligacji społecznych SURE wynosi 5–30 lat,</w:t>
      </w:r>
      <w:r w:rsidR="00A467B6">
        <w:rPr>
          <w:rFonts w:ascii="Times New Roman" w:hAnsi="Times New Roman"/>
          <w:color w:val="000000" w:themeColor="text1"/>
          <w:sz w:val="24"/>
        </w:rPr>
        <w:t xml:space="preserve"> w zwi</w:t>
      </w:r>
      <w:r>
        <w:rPr>
          <w:rFonts w:ascii="Times New Roman" w:hAnsi="Times New Roman"/>
          <w:color w:val="000000" w:themeColor="text1"/>
          <w:sz w:val="24"/>
        </w:rPr>
        <w:t>ązku</w:t>
      </w:r>
      <w:r w:rsidR="00A467B6">
        <w:rPr>
          <w:rFonts w:ascii="Times New Roman" w:hAnsi="Times New Roman"/>
          <w:color w:val="000000" w:themeColor="text1"/>
          <w:sz w:val="24"/>
        </w:rPr>
        <w:t xml:space="preserve"> z czy</w:t>
      </w:r>
      <w:r>
        <w:rPr>
          <w:rFonts w:ascii="Times New Roman" w:hAnsi="Times New Roman"/>
          <w:color w:val="000000" w:themeColor="text1"/>
          <w:sz w:val="24"/>
        </w:rPr>
        <w:t>m na rzecz państw członkowskich wypłacono pożyczki</w:t>
      </w:r>
      <w:r w:rsidR="00A467B6">
        <w:rPr>
          <w:rFonts w:ascii="Times New Roman" w:hAnsi="Times New Roman"/>
          <w:color w:val="000000" w:themeColor="text1"/>
          <w:sz w:val="24"/>
        </w:rPr>
        <w:t xml:space="preserve"> o śre</w:t>
      </w:r>
      <w:r>
        <w:rPr>
          <w:rFonts w:ascii="Times New Roman" w:hAnsi="Times New Roman"/>
          <w:color w:val="000000" w:themeColor="text1"/>
          <w:sz w:val="24"/>
        </w:rPr>
        <w:t>dnim terminie zapadalności wynoszącym 14,5 roku</w:t>
      </w:r>
      <w:r>
        <w:rPr>
          <w:rFonts w:ascii="Times New Roman" w:hAnsi="Times New Roman" w:cs="Times New Roman"/>
          <w:color w:val="000000" w:themeColor="text1"/>
          <w:sz w:val="24"/>
          <w:vertAlign w:val="superscript"/>
        </w:rPr>
        <w:footnoteReference w:id="17"/>
      </w:r>
      <w:r w:rsidR="00A467B6">
        <w:rPr>
          <w:rFonts w:ascii="Times New Roman" w:hAnsi="Times New Roman"/>
          <w:color w:val="000000" w:themeColor="text1"/>
          <w:sz w:val="24"/>
        </w:rPr>
        <w:t>. W tab</w:t>
      </w:r>
      <w:r>
        <w:rPr>
          <w:rFonts w:ascii="Times New Roman" w:hAnsi="Times New Roman"/>
          <w:color w:val="000000" w:themeColor="text1"/>
          <w:sz w:val="24"/>
        </w:rPr>
        <w:t>eli 5 zestawiono kwoty wypłacone państwom członkowskim do tej pory,</w:t>
      </w:r>
      <w:r w:rsidR="00A467B6">
        <w:rPr>
          <w:rFonts w:ascii="Times New Roman" w:hAnsi="Times New Roman"/>
          <w:color w:val="000000" w:themeColor="text1"/>
          <w:sz w:val="24"/>
        </w:rPr>
        <w:t xml:space="preserve"> w pod</w:t>
      </w:r>
      <w:r>
        <w:rPr>
          <w:rFonts w:ascii="Times New Roman" w:hAnsi="Times New Roman"/>
          <w:color w:val="000000" w:themeColor="text1"/>
          <w:sz w:val="24"/>
        </w:rPr>
        <w:t>ziale według transakcji pożyczkowej</w:t>
      </w:r>
      <w:r w:rsidR="00A467B6">
        <w:rPr>
          <w:rFonts w:ascii="Times New Roman" w:hAnsi="Times New Roman"/>
          <w:color w:val="000000" w:themeColor="text1"/>
          <w:sz w:val="24"/>
        </w:rPr>
        <w:t xml:space="preserve"> i ter</w:t>
      </w:r>
      <w:r>
        <w:rPr>
          <w:rFonts w:ascii="Times New Roman" w:hAnsi="Times New Roman"/>
          <w:color w:val="000000" w:themeColor="text1"/>
          <w:sz w:val="24"/>
        </w:rPr>
        <w:t>minu zapadalności</w:t>
      </w:r>
      <w:r w:rsidR="00A467B6">
        <w:rPr>
          <w:rFonts w:ascii="Times New Roman" w:hAnsi="Times New Roman"/>
          <w:color w:val="000000" w:themeColor="text1"/>
          <w:sz w:val="24"/>
        </w:rPr>
        <w:t>. W tab</w:t>
      </w:r>
      <w:r>
        <w:rPr>
          <w:rFonts w:ascii="Times New Roman" w:hAnsi="Times New Roman"/>
          <w:color w:val="000000" w:themeColor="text1"/>
          <w:sz w:val="24"/>
        </w:rPr>
        <w:t>eli przedstawiono również kwoty nadal pozostałe do wypłaty każdemu państwu członkowskiemu.</w:t>
      </w:r>
    </w:p>
    <w:p w14:paraId="321BE34B" w14:textId="77777777" w:rsidR="009D29AB" w:rsidRPr="009D29AB" w:rsidRDefault="009D29AB" w:rsidP="009D29AB">
      <w:pPr>
        <w:rPr>
          <w:rFonts w:ascii="Times New Roman" w:hAnsi="Times New Roman" w:cs="Times New Roman"/>
          <w:b/>
          <w:color w:val="000000" w:themeColor="text1"/>
          <w:sz w:val="24"/>
        </w:rPr>
      </w:pPr>
      <w:r>
        <w:br w:type="page"/>
      </w:r>
    </w:p>
    <w:p w14:paraId="72EB75CE" w14:textId="7E71FFAB"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Tabela 3:</w:t>
      </w:r>
      <w:r>
        <w:rPr>
          <w:rFonts w:ascii="Times New Roman" w:hAnsi="Times New Roman"/>
          <w:color w:val="000000" w:themeColor="text1"/>
          <w:sz w:val="24"/>
        </w:rPr>
        <w:t xml:space="preserve"> </w:t>
      </w:r>
      <w:r>
        <w:rPr>
          <w:rFonts w:ascii="Times New Roman" w:hAnsi="Times New Roman"/>
          <w:b/>
          <w:color w:val="000000" w:themeColor="text1"/>
          <w:sz w:val="24"/>
        </w:rPr>
        <w:t>Kluczowe statystyki dotyczące unijnych transakcji pożyczkowych</w:t>
      </w:r>
      <w:r w:rsidR="00A467B6">
        <w:rPr>
          <w:rFonts w:ascii="Times New Roman" w:hAnsi="Times New Roman"/>
          <w:b/>
          <w:color w:val="000000" w:themeColor="text1"/>
          <w:sz w:val="24"/>
        </w:rPr>
        <w:t xml:space="preserve"> w ram</w:t>
      </w:r>
      <w:r>
        <w:rPr>
          <w:rFonts w:ascii="Times New Roman" w:hAnsi="Times New Roman"/>
          <w:b/>
          <w:color w:val="000000" w:themeColor="text1"/>
          <w:sz w:val="24"/>
        </w:rPr>
        <w:t>ach SURE (w EUR)</w:t>
      </w:r>
    </w:p>
    <w:tbl>
      <w:tblPr>
        <w:tblW w:w="9194" w:type="dxa"/>
        <w:tblInd w:w="118" w:type="dxa"/>
        <w:tblLook w:val="04A0" w:firstRow="1" w:lastRow="0" w:firstColumn="1" w:lastColumn="0" w:noHBand="0" w:noVBand="1"/>
      </w:tblPr>
      <w:tblGrid>
        <w:gridCol w:w="1550"/>
        <w:gridCol w:w="1134"/>
        <w:gridCol w:w="1063"/>
        <w:gridCol w:w="20"/>
        <w:gridCol w:w="1007"/>
        <w:gridCol w:w="1027"/>
        <w:gridCol w:w="20"/>
        <w:gridCol w:w="1249"/>
        <w:gridCol w:w="20"/>
        <w:gridCol w:w="1007"/>
        <w:gridCol w:w="1077"/>
        <w:gridCol w:w="20"/>
      </w:tblGrid>
      <w:tr w:rsidR="009D29AB" w:rsidRPr="009D29AB" w14:paraId="68B24516" w14:textId="77777777" w:rsidTr="00FB1D87">
        <w:trPr>
          <w:trHeight w:val="292"/>
        </w:trPr>
        <w:tc>
          <w:tcPr>
            <w:tcW w:w="1550" w:type="dxa"/>
            <w:tcBorders>
              <w:top w:val="single" w:sz="8" w:space="0" w:color="auto"/>
              <w:left w:val="single" w:sz="8" w:space="0" w:color="auto"/>
              <w:bottom w:val="nil"/>
              <w:right w:val="nil"/>
            </w:tcBorders>
            <w:shd w:val="clear" w:color="auto" w:fill="auto"/>
            <w:noWrap/>
            <w:vAlign w:val="center"/>
            <w:hideMark/>
          </w:tcPr>
          <w:p w14:paraId="4E135D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Transakcja</w:t>
            </w:r>
          </w:p>
        </w:tc>
        <w:tc>
          <w:tcPr>
            <w:tcW w:w="2217"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7F955B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#1</w:t>
            </w:r>
          </w:p>
        </w:tc>
        <w:tc>
          <w:tcPr>
            <w:tcW w:w="2054" w:type="dxa"/>
            <w:gridSpan w:val="3"/>
            <w:tcBorders>
              <w:top w:val="single" w:sz="8" w:space="0" w:color="auto"/>
              <w:left w:val="nil"/>
              <w:bottom w:val="nil"/>
              <w:right w:val="nil"/>
            </w:tcBorders>
            <w:shd w:val="clear" w:color="auto" w:fill="auto"/>
            <w:noWrap/>
            <w:vAlign w:val="center"/>
            <w:hideMark/>
          </w:tcPr>
          <w:p w14:paraId="135A701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#2</w:t>
            </w:r>
          </w:p>
        </w:tc>
        <w:tc>
          <w:tcPr>
            <w:tcW w:w="1269" w:type="dxa"/>
            <w:gridSpan w:val="2"/>
            <w:tcBorders>
              <w:top w:val="single" w:sz="8" w:space="0" w:color="auto"/>
              <w:left w:val="single" w:sz="8" w:space="0" w:color="auto"/>
              <w:bottom w:val="nil"/>
              <w:right w:val="single" w:sz="8" w:space="0" w:color="auto"/>
            </w:tcBorders>
            <w:shd w:val="clear" w:color="auto" w:fill="auto"/>
            <w:noWrap/>
            <w:vAlign w:val="center"/>
            <w:hideMark/>
          </w:tcPr>
          <w:p w14:paraId="0F8A68E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#3</w:t>
            </w:r>
          </w:p>
        </w:tc>
        <w:tc>
          <w:tcPr>
            <w:tcW w:w="2104" w:type="dxa"/>
            <w:gridSpan w:val="3"/>
            <w:tcBorders>
              <w:top w:val="single" w:sz="8" w:space="0" w:color="auto"/>
              <w:left w:val="nil"/>
              <w:bottom w:val="nil"/>
              <w:right w:val="single" w:sz="8" w:space="0" w:color="000000"/>
            </w:tcBorders>
            <w:shd w:val="clear" w:color="auto" w:fill="auto"/>
            <w:noWrap/>
            <w:vAlign w:val="center"/>
            <w:hideMark/>
          </w:tcPr>
          <w:p w14:paraId="4BE69A1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SURE #4</w:t>
            </w:r>
          </w:p>
        </w:tc>
      </w:tr>
      <w:tr w:rsidR="009D29AB" w:rsidRPr="009D29AB" w14:paraId="1B35A936" w14:textId="77777777" w:rsidTr="00FB1D87">
        <w:trPr>
          <w:trHeight w:val="292"/>
        </w:trPr>
        <w:tc>
          <w:tcPr>
            <w:tcW w:w="1550" w:type="dxa"/>
            <w:tcBorders>
              <w:top w:val="single" w:sz="4" w:space="0" w:color="auto"/>
              <w:left w:val="single" w:sz="8" w:space="0" w:color="auto"/>
              <w:bottom w:val="single" w:sz="4" w:space="0" w:color="auto"/>
              <w:right w:val="nil"/>
            </w:tcBorders>
            <w:shd w:val="clear" w:color="000000" w:fill="BDD7EE"/>
            <w:noWrap/>
            <w:vAlign w:val="center"/>
          </w:tcPr>
          <w:p w14:paraId="1A1149F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Data</w:t>
            </w:r>
          </w:p>
        </w:tc>
        <w:tc>
          <w:tcPr>
            <w:tcW w:w="2217" w:type="dxa"/>
            <w:gridSpan w:val="3"/>
            <w:tcBorders>
              <w:top w:val="single" w:sz="4" w:space="0" w:color="auto"/>
              <w:left w:val="single" w:sz="8" w:space="0" w:color="auto"/>
              <w:bottom w:val="single" w:sz="4" w:space="0" w:color="auto"/>
              <w:right w:val="single" w:sz="8" w:space="0" w:color="auto"/>
            </w:tcBorders>
            <w:shd w:val="clear" w:color="000000" w:fill="BDD7EE"/>
            <w:noWrap/>
            <w:vAlign w:val="center"/>
          </w:tcPr>
          <w:p w14:paraId="244E5A13" w14:textId="1205E229"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 października 20</w:t>
            </w:r>
            <w:r w:rsidRPr="00A467B6">
              <w:rPr>
                <w:rFonts w:ascii="Times New Roman" w:hAnsi="Times New Roman"/>
                <w:color w:val="000000"/>
                <w:sz w:val="20"/>
              </w:rPr>
              <w:t>20</w:t>
            </w:r>
            <w:r w:rsidR="00A467B6" w:rsidRPr="00A467B6">
              <w:rPr>
                <w:rFonts w:ascii="Times New Roman" w:hAnsi="Times New Roman"/>
                <w:color w:val="000000"/>
                <w:sz w:val="20"/>
              </w:rPr>
              <w:t> </w:t>
            </w:r>
            <w:r w:rsidRPr="00A467B6">
              <w:rPr>
                <w:rFonts w:ascii="Times New Roman" w:hAnsi="Times New Roman"/>
                <w:color w:val="000000"/>
                <w:sz w:val="20"/>
              </w:rPr>
              <w:t>r.</w:t>
            </w:r>
          </w:p>
        </w:tc>
        <w:tc>
          <w:tcPr>
            <w:tcW w:w="2054" w:type="dxa"/>
            <w:gridSpan w:val="3"/>
            <w:tcBorders>
              <w:top w:val="single" w:sz="4" w:space="0" w:color="auto"/>
              <w:left w:val="nil"/>
              <w:bottom w:val="single" w:sz="4" w:space="0" w:color="auto"/>
              <w:right w:val="single" w:sz="4" w:space="0" w:color="auto"/>
            </w:tcBorders>
            <w:shd w:val="clear" w:color="000000" w:fill="BDD7EE"/>
            <w:noWrap/>
            <w:vAlign w:val="center"/>
          </w:tcPr>
          <w:p w14:paraId="6CE2553B" w14:textId="5B8A0084"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listopada 20</w:t>
            </w:r>
            <w:r w:rsidRPr="00A467B6">
              <w:rPr>
                <w:rFonts w:ascii="Times New Roman" w:hAnsi="Times New Roman"/>
                <w:color w:val="000000"/>
                <w:sz w:val="20"/>
              </w:rPr>
              <w:t>20</w:t>
            </w:r>
            <w:r w:rsidR="00A467B6" w:rsidRPr="00A467B6">
              <w:rPr>
                <w:rFonts w:ascii="Times New Roman" w:hAnsi="Times New Roman"/>
                <w:color w:val="000000"/>
                <w:sz w:val="20"/>
              </w:rPr>
              <w:t> </w:t>
            </w:r>
            <w:r w:rsidRPr="00A467B6">
              <w:rPr>
                <w:rFonts w:ascii="Times New Roman" w:hAnsi="Times New Roman"/>
                <w:color w:val="000000"/>
                <w:sz w:val="20"/>
              </w:rPr>
              <w:t>r.</w:t>
            </w:r>
          </w:p>
        </w:tc>
        <w:tc>
          <w:tcPr>
            <w:tcW w:w="1269"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14:paraId="41EC9977" w14:textId="112B8491"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24 listopada 20</w:t>
            </w:r>
            <w:r w:rsidRPr="00A467B6">
              <w:rPr>
                <w:rFonts w:ascii="Times New Roman" w:hAnsi="Times New Roman"/>
                <w:color w:val="000000"/>
                <w:sz w:val="20"/>
              </w:rPr>
              <w:t>20</w:t>
            </w:r>
            <w:r w:rsidR="00A467B6" w:rsidRPr="00A467B6">
              <w:rPr>
                <w:rFonts w:ascii="Times New Roman" w:hAnsi="Times New Roman"/>
                <w:color w:val="000000"/>
                <w:sz w:val="20"/>
              </w:rPr>
              <w:t> </w:t>
            </w:r>
            <w:r w:rsidRPr="00A467B6">
              <w:rPr>
                <w:rFonts w:ascii="Times New Roman" w:hAnsi="Times New Roman"/>
                <w:color w:val="000000"/>
                <w:sz w:val="20"/>
              </w:rPr>
              <w:t>r.</w:t>
            </w:r>
          </w:p>
        </w:tc>
        <w:tc>
          <w:tcPr>
            <w:tcW w:w="2104" w:type="dxa"/>
            <w:gridSpan w:val="3"/>
            <w:tcBorders>
              <w:top w:val="single" w:sz="4" w:space="0" w:color="auto"/>
              <w:left w:val="nil"/>
              <w:bottom w:val="single" w:sz="4" w:space="0" w:color="auto"/>
              <w:right w:val="single" w:sz="8" w:space="0" w:color="auto"/>
            </w:tcBorders>
            <w:shd w:val="clear" w:color="000000" w:fill="BDD7EE"/>
            <w:noWrap/>
            <w:vAlign w:val="center"/>
          </w:tcPr>
          <w:p w14:paraId="2CC84CC3" w14:textId="2992EED6"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26 stycznia 20</w:t>
            </w:r>
            <w:r w:rsidRPr="00A467B6">
              <w:rPr>
                <w:rFonts w:ascii="Times New Roman" w:hAnsi="Times New Roman"/>
                <w:color w:val="000000"/>
                <w:sz w:val="20"/>
              </w:rPr>
              <w:t>21</w:t>
            </w:r>
            <w:r w:rsidR="00A467B6" w:rsidRPr="00A467B6">
              <w:rPr>
                <w:rFonts w:ascii="Times New Roman" w:hAnsi="Times New Roman"/>
                <w:color w:val="000000"/>
                <w:sz w:val="20"/>
              </w:rPr>
              <w:t> </w:t>
            </w:r>
            <w:r w:rsidRPr="00A467B6">
              <w:rPr>
                <w:rFonts w:ascii="Times New Roman" w:hAnsi="Times New Roman"/>
                <w:color w:val="000000"/>
                <w:sz w:val="20"/>
              </w:rPr>
              <w:t>r.</w:t>
            </w:r>
          </w:p>
        </w:tc>
      </w:tr>
      <w:tr w:rsidR="009D29AB" w:rsidRPr="009D29AB" w14:paraId="6C9A4FAB" w14:textId="77777777" w:rsidTr="00FB1D87">
        <w:trPr>
          <w:gridAfter w:val="1"/>
          <w:wAfter w:w="20" w:type="dxa"/>
          <w:trHeight w:val="292"/>
        </w:trPr>
        <w:tc>
          <w:tcPr>
            <w:tcW w:w="1550" w:type="dxa"/>
            <w:tcBorders>
              <w:top w:val="single" w:sz="4" w:space="0" w:color="auto"/>
              <w:left w:val="single" w:sz="8" w:space="0" w:color="auto"/>
              <w:bottom w:val="single" w:sz="4" w:space="0" w:color="auto"/>
              <w:right w:val="nil"/>
            </w:tcBorders>
            <w:shd w:val="clear" w:color="auto" w:fill="auto"/>
            <w:noWrap/>
            <w:vAlign w:val="center"/>
          </w:tcPr>
          <w:p w14:paraId="74A94452"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Transza</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AEF77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lat</w:t>
            </w:r>
          </w:p>
        </w:tc>
        <w:tc>
          <w:tcPr>
            <w:tcW w:w="1063" w:type="dxa"/>
            <w:tcBorders>
              <w:top w:val="single" w:sz="4" w:space="0" w:color="auto"/>
              <w:left w:val="nil"/>
              <w:bottom w:val="single" w:sz="4" w:space="0" w:color="auto"/>
              <w:right w:val="single" w:sz="8" w:space="0" w:color="auto"/>
            </w:tcBorders>
            <w:shd w:val="clear" w:color="auto" w:fill="auto"/>
            <w:noWrap/>
            <w:vAlign w:val="center"/>
          </w:tcPr>
          <w:p w14:paraId="7F58B63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20 lat</w:t>
            </w:r>
          </w:p>
        </w:tc>
        <w:tc>
          <w:tcPr>
            <w:tcW w:w="1027" w:type="dxa"/>
            <w:gridSpan w:val="2"/>
            <w:tcBorders>
              <w:top w:val="single" w:sz="4" w:space="0" w:color="auto"/>
              <w:left w:val="nil"/>
              <w:bottom w:val="single" w:sz="4" w:space="0" w:color="auto"/>
              <w:right w:val="single" w:sz="4" w:space="0" w:color="auto"/>
            </w:tcBorders>
            <w:shd w:val="clear" w:color="auto" w:fill="auto"/>
            <w:noWrap/>
            <w:vAlign w:val="center"/>
          </w:tcPr>
          <w:p w14:paraId="095282D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5 lat</w:t>
            </w:r>
          </w:p>
        </w:tc>
        <w:tc>
          <w:tcPr>
            <w:tcW w:w="1027" w:type="dxa"/>
            <w:tcBorders>
              <w:top w:val="single" w:sz="4" w:space="0" w:color="auto"/>
              <w:left w:val="nil"/>
              <w:bottom w:val="single" w:sz="4" w:space="0" w:color="auto"/>
              <w:right w:val="nil"/>
            </w:tcBorders>
            <w:shd w:val="clear" w:color="auto" w:fill="auto"/>
            <w:noWrap/>
            <w:vAlign w:val="center"/>
          </w:tcPr>
          <w:p w14:paraId="3D71601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 lat</w:t>
            </w:r>
          </w:p>
        </w:tc>
        <w:tc>
          <w:tcPr>
            <w:tcW w:w="1269"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417F6B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 lat</w:t>
            </w:r>
          </w:p>
        </w:tc>
        <w:tc>
          <w:tcPr>
            <w:tcW w:w="1027" w:type="dxa"/>
            <w:gridSpan w:val="2"/>
            <w:tcBorders>
              <w:top w:val="single" w:sz="4" w:space="0" w:color="auto"/>
              <w:left w:val="nil"/>
              <w:bottom w:val="single" w:sz="4" w:space="0" w:color="auto"/>
              <w:right w:val="single" w:sz="4" w:space="0" w:color="auto"/>
            </w:tcBorders>
            <w:shd w:val="clear" w:color="auto" w:fill="auto"/>
            <w:noWrap/>
            <w:vAlign w:val="center"/>
          </w:tcPr>
          <w:p w14:paraId="5053B813"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lat</w:t>
            </w:r>
          </w:p>
        </w:tc>
        <w:tc>
          <w:tcPr>
            <w:tcW w:w="1077" w:type="dxa"/>
            <w:tcBorders>
              <w:top w:val="single" w:sz="4" w:space="0" w:color="auto"/>
              <w:left w:val="nil"/>
              <w:bottom w:val="single" w:sz="4" w:space="0" w:color="auto"/>
              <w:right w:val="single" w:sz="8" w:space="0" w:color="auto"/>
            </w:tcBorders>
            <w:shd w:val="clear" w:color="auto" w:fill="auto"/>
            <w:noWrap/>
            <w:vAlign w:val="center"/>
          </w:tcPr>
          <w:p w14:paraId="36C9890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30 lat (tzw. tap)</w:t>
            </w:r>
          </w:p>
        </w:tc>
      </w:tr>
      <w:tr w:rsidR="009D29AB" w:rsidRPr="009D29AB" w14:paraId="65B2F7D4" w14:textId="77777777" w:rsidTr="00FB1D87">
        <w:trPr>
          <w:gridAfter w:val="1"/>
          <w:wAfter w:w="20" w:type="dxa"/>
          <w:trHeight w:val="292"/>
        </w:trPr>
        <w:tc>
          <w:tcPr>
            <w:tcW w:w="1550" w:type="dxa"/>
            <w:tcBorders>
              <w:top w:val="single" w:sz="4" w:space="0" w:color="auto"/>
              <w:left w:val="single" w:sz="8" w:space="0" w:color="auto"/>
              <w:bottom w:val="single" w:sz="4" w:space="0" w:color="auto"/>
              <w:right w:val="nil"/>
            </w:tcBorders>
            <w:shd w:val="clear" w:color="000000" w:fill="BDD7EE"/>
            <w:noWrap/>
            <w:vAlign w:val="center"/>
          </w:tcPr>
          <w:p w14:paraId="76EF3E91"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Wartość emisji</w:t>
            </w:r>
          </w:p>
        </w:tc>
        <w:tc>
          <w:tcPr>
            <w:tcW w:w="1134" w:type="dxa"/>
            <w:tcBorders>
              <w:top w:val="single" w:sz="4" w:space="0" w:color="auto"/>
              <w:left w:val="single" w:sz="8" w:space="0" w:color="auto"/>
              <w:bottom w:val="single" w:sz="4" w:space="0" w:color="auto"/>
              <w:right w:val="single" w:sz="4" w:space="0" w:color="auto"/>
            </w:tcBorders>
            <w:shd w:val="clear" w:color="000000" w:fill="BDD7EE"/>
            <w:noWrap/>
            <w:vAlign w:val="center"/>
          </w:tcPr>
          <w:p w14:paraId="53402CC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mld</w:t>
            </w:r>
          </w:p>
        </w:tc>
        <w:tc>
          <w:tcPr>
            <w:tcW w:w="1063" w:type="dxa"/>
            <w:tcBorders>
              <w:top w:val="single" w:sz="4" w:space="0" w:color="auto"/>
              <w:left w:val="nil"/>
              <w:bottom w:val="single" w:sz="4" w:space="0" w:color="auto"/>
              <w:right w:val="single" w:sz="8" w:space="0" w:color="auto"/>
            </w:tcBorders>
            <w:shd w:val="clear" w:color="000000" w:fill="BDD7EE"/>
            <w:noWrap/>
            <w:vAlign w:val="center"/>
          </w:tcPr>
          <w:p w14:paraId="60036C2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 mld</w:t>
            </w:r>
          </w:p>
        </w:tc>
        <w:tc>
          <w:tcPr>
            <w:tcW w:w="1027" w:type="dxa"/>
            <w:gridSpan w:val="2"/>
            <w:tcBorders>
              <w:top w:val="single" w:sz="4" w:space="0" w:color="auto"/>
              <w:left w:val="nil"/>
              <w:bottom w:val="single" w:sz="4" w:space="0" w:color="auto"/>
              <w:right w:val="single" w:sz="4" w:space="0" w:color="auto"/>
            </w:tcBorders>
            <w:shd w:val="clear" w:color="000000" w:fill="BDD7EE"/>
            <w:noWrap/>
            <w:vAlign w:val="center"/>
          </w:tcPr>
          <w:p w14:paraId="7E589FB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 mld</w:t>
            </w:r>
          </w:p>
        </w:tc>
        <w:tc>
          <w:tcPr>
            <w:tcW w:w="1027" w:type="dxa"/>
            <w:tcBorders>
              <w:top w:val="single" w:sz="4" w:space="0" w:color="auto"/>
              <w:left w:val="nil"/>
              <w:bottom w:val="single" w:sz="4" w:space="0" w:color="auto"/>
              <w:right w:val="nil"/>
            </w:tcBorders>
            <w:shd w:val="clear" w:color="000000" w:fill="BDD7EE"/>
            <w:noWrap/>
            <w:vAlign w:val="center"/>
          </w:tcPr>
          <w:p w14:paraId="28F3BB8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6 mld</w:t>
            </w:r>
          </w:p>
        </w:tc>
        <w:tc>
          <w:tcPr>
            <w:tcW w:w="1269" w:type="dxa"/>
            <w:gridSpan w:val="2"/>
            <w:tcBorders>
              <w:top w:val="single" w:sz="4" w:space="0" w:color="auto"/>
              <w:left w:val="single" w:sz="8" w:space="0" w:color="auto"/>
              <w:bottom w:val="single" w:sz="4" w:space="0" w:color="auto"/>
              <w:right w:val="single" w:sz="8" w:space="0" w:color="auto"/>
            </w:tcBorders>
            <w:shd w:val="clear" w:color="000000" w:fill="BDD7EE"/>
            <w:noWrap/>
            <w:vAlign w:val="center"/>
          </w:tcPr>
          <w:p w14:paraId="296EA6C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8,5 mld</w:t>
            </w:r>
          </w:p>
        </w:tc>
        <w:tc>
          <w:tcPr>
            <w:tcW w:w="1027" w:type="dxa"/>
            <w:gridSpan w:val="2"/>
            <w:tcBorders>
              <w:top w:val="single" w:sz="4" w:space="0" w:color="auto"/>
              <w:left w:val="nil"/>
              <w:bottom w:val="single" w:sz="4" w:space="0" w:color="auto"/>
              <w:right w:val="single" w:sz="4" w:space="0" w:color="auto"/>
            </w:tcBorders>
            <w:shd w:val="clear" w:color="000000" w:fill="BDD7EE"/>
            <w:noWrap/>
            <w:vAlign w:val="center"/>
          </w:tcPr>
          <w:p w14:paraId="1500ED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 mld</w:t>
            </w:r>
          </w:p>
        </w:tc>
        <w:tc>
          <w:tcPr>
            <w:tcW w:w="1077" w:type="dxa"/>
            <w:tcBorders>
              <w:top w:val="single" w:sz="4" w:space="0" w:color="auto"/>
              <w:left w:val="nil"/>
              <w:bottom w:val="single" w:sz="4" w:space="0" w:color="auto"/>
              <w:right w:val="single" w:sz="8" w:space="0" w:color="auto"/>
            </w:tcBorders>
            <w:shd w:val="clear" w:color="000000" w:fill="BDD7EE"/>
            <w:noWrap/>
            <w:vAlign w:val="center"/>
          </w:tcPr>
          <w:p w14:paraId="5FA8B19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 mld</w:t>
            </w:r>
          </w:p>
        </w:tc>
      </w:tr>
      <w:tr w:rsidR="009D29AB" w:rsidRPr="009D29AB" w14:paraId="587616CD" w14:textId="77777777" w:rsidTr="00FB1D87">
        <w:trPr>
          <w:gridAfter w:val="1"/>
          <w:wAfter w:w="20" w:type="dxa"/>
          <w:trHeight w:val="292"/>
        </w:trPr>
        <w:tc>
          <w:tcPr>
            <w:tcW w:w="1550" w:type="dxa"/>
            <w:tcBorders>
              <w:top w:val="nil"/>
              <w:left w:val="single" w:sz="8" w:space="0" w:color="auto"/>
              <w:bottom w:val="single" w:sz="4" w:space="0" w:color="auto"/>
              <w:right w:val="nil"/>
            </w:tcBorders>
            <w:shd w:val="clear" w:color="auto" w:fill="auto"/>
            <w:noWrap/>
            <w:vAlign w:val="center"/>
          </w:tcPr>
          <w:p w14:paraId="1DDA5C6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Rentowność</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5D17B3D5" w14:textId="5058FD20"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-0,23</w:t>
            </w:r>
            <w:r w:rsidRPr="00A467B6">
              <w:rPr>
                <w:rFonts w:ascii="Times New Roman" w:hAnsi="Times New Roman"/>
                <w:color w:val="000000"/>
                <w:sz w:val="20"/>
              </w:rPr>
              <w:t>8</w:t>
            </w:r>
            <w:r w:rsidR="00A467B6" w:rsidRPr="00A467B6">
              <w:rPr>
                <w:rFonts w:ascii="Times New Roman" w:hAnsi="Times New Roman"/>
                <w:color w:val="000000"/>
                <w:sz w:val="20"/>
              </w:rPr>
              <w:t> </w:t>
            </w:r>
            <w:r w:rsidRPr="00A467B6">
              <w:rPr>
                <w:rFonts w:ascii="Times New Roman" w:hAnsi="Times New Roman"/>
                <w:color w:val="000000"/>
                <w:sz w:val="20"/>
              </w:rPr>
              <w:t>%</w:t>
            </w:r>
          </w:p>
        </w:tc>
        <w:tc>
          <w:tcPr>
            <w:tcW w:w="1063" w:type="dxa"/>
            <w:tcBorders>
              <w:top w:val="nil"/>
              <w:left w:val="nil"/>
              <w:bottom w:val="single" w:sz="4" w:space="0" w:color="auto"/>
              <w:right w:val="single" w:sz="8" w:space="0" w:color="auto"/>
            </w:tcBorders>
            <w:shd w:val="clear" w:color="auto" w:fill="auto"/>
            <w:noWrap/>
            <w:vAlign w:val="center"/>
          </w:tcPr>
          <w:p w14:paraId="715AD91A" w14:textId="1D2E4011"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w:t>
            </w:r>
            <w:r w:rsidRPr="00A467B6">
              <w:rPr>
                <w:rFonts w:ascii="Times New Roman" w:hAnsi="Times New Roman"/>
                <w:color w:val="000000"/>
                <w:sz w:val="20"/>
              </w:rPr>
              <w:t>1</w:t>
            </w:r>
            <w:r w:rsidR="00A467B6" w:rsidRPr="00A467B6">
              <w:rPr>
                <w:rFonts w:ascii="Times New Roman" w:hAnsi="Times New Roman"/>
                <w:color w:val="000000"/>
                <w:sz w:val="20"/>
              </w:rPr>
              <w:t> </w:t>
            </w:r>
            <w:r w:rsidRPr="00A467B6">
              <w:rPr>
                <w:rFonts w:ascii="Times New Roman" w:hAnsi="Times New Roman"/>
                <w:color w:val="000000"/>
                <w:sz w:val="20"/>
              </w:rPr>
              <w:t>%</w:t>
            </w:r>
          </w:p>
        </w:tc>
        <w:tc>
          <w:tcPr>
            <w:tcW w:w="1027" w:type="dxa"/>
            <w:gridSpan w:val="2"/>
            <w:tcBorders>
              <w:top w:val="nil"/>
              <w:left w:val="nil"/>
              <w:bottom w:val="single" w:sz="4" w:space="0" w:color="auto"/>
              <w:right w:val="single" w:sz="4" w:space="0" w:color="auto"/>
            </w:tcBorders>
            <w:shd w:val="clear" w:color="auto" w:fill="auto"/>
            <w:noWrap/>
            <w:vAlign w:val="center"/>
          </w:tcPr>
          <w:p w14:paraId="4547BBC6" w14:textId="01CAE4A6"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-0,50</w:t>
            </w:r>
            <w:r w:rsidRPr="00A467B6">
              <w:rPr>
                <w:rFonts w:ascii="Times New Roman" w:hAnsi="Times New Roman"/>
                <w:color w:val="000000"/>
                <w:sz w:val="20"/>
              </w:rPr>
              <w:t>9</w:t>
            </w:r>
            <w:r w:rsidR="00A467B6" w:rsidRPr="00A467B6">
              <w:rPr>
                <w:rFonts w:ascii="Times New Roman" w:hAnsi="Times New Roman"/>
                <w:color w:val="000000"/>
                <w:sz w:val="20"/>
              </w:rPr>
              <w:t> </w:t>
            </w:r>
            <w:r w:rsidRPr="00A467B6">
              <w:rPr>
                <w:rFonts w:ascii="Times New Roman" w:hAnsi="Times New Roman"/>
                <w:color w:val="000000"/>
                <w:sz w:val="20"/>
              </w:rPr>
              <w:t>%</w:t>
            </w:r>
          </w:p>
        </w:tc>
        <w:tc>
          <w:tcPr>
            <w:tcW w:w="1027" w:type="dxa"/>
            <w:tcBorders>
              <w:top w:val="nil"/>
              <w:left w:val="nil"/>
              <w:bottom w:val="single" w:sz="4" w:space="0" w:color="auto"/>
              <w:right w:val="nil"/>
            </w:tcBorders>
            <w:shd w:val="clear" w:color="auto" w:fill="auto"/>
            <w:noWrap/>
            <w:vAlign w:val="center"/>
          </w:tcPr>
          <w:p w14:paraId="6BFB622F" w14:textId="57A5038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0,31</w:t>
            </w:r>
            <w:r w:rsidRPr="00A467B6">
              <w:rPr>
                <w:rFonts w:ascii="Times New Roman" w:hAnsi="Times New Roman"/>
                <w:color w:val="000000"/>
                <w:sz w:val="20"/>
              </w:rPr>
              <w:t>7</w:t>
            </w:r>
            <w:r w:rsidR="00A467B6" w:rsidRPr="00A467B6">
              <w:rPr>
                <w:rFonts w:ascii="Times New Roman" w:hAnsi="Times New Roman"/>
                <w:color w:val="000000"/>
                <w:sz w:val="20"/>
              </w:rPr>
              <w:t> </w:t>
            </w:r>
            <w:r w:rsidRPr="00A467B6">
              <w:rPr>
                <w:rFonts w:ascii="Times New Roman" w:hAnsi="Times New Roman"/>
                <w:color w:val="000000"/>
                <w:sz w:val="20"/>
              </w:rPr>
              <w:t>%</w:t>
            </w:r>
          </w:p>
        </w:tc>
        <w:tc>
          <w:tcPr>
            <w:tcW w:w="1269" w:type="dxa"/>
            <w:gridSpan w:val="2"/>
            <w:tcBorders>
              <w:top w:val="nil"/>
              <w:left w:val="single" w:sz="8" w:space="0" w:color="auto"/>
              <w:bottom w:val="single" w:sz="4" w:space="0" w:color="auto"/>
              <w:right w:val="single" w:sz="8" w:space="0" w:color="auto"/>
            </w:tcBorders>
            <w:shd w:val="clear" w:color="auto" w:fill="auto"/>
            <w:noWrap/>
            <w:vAlign w:val="center"/>
          </w:tcPr>
          <w:p w14:paraId="25F29B50" w14:textId="40EB6386"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-0,10</w:t>
            </w:r>
            <w:r w:rsidRPr="00A467B6">
              <w:rPr>
                <w:rFonts w:ascii="Times New Roman" w:hAnsi="Times New Roman"/>
                <w:color w:val="000000"/>
                <w:sz w:val="20"/>
              </w:rPr>
              <w:t>2</w:t>
            </w:r>
            <w:r w:rsidR="00A467B6" w:rsidRPr="00A467B6">
              <w:rPr>
                <w:rFonts w:ascii="Times New Roman" w:hAnsi="Times New Roman"/>
                <w:color w:val="000000"/>
                <w:sz w:val="20"/>
              </w:rPr>
              <w:t> </w:t>
            </w:r>
            <w:r w:rsidRPr="00A467B6">
              <w:rPr>
                <w:rFonts w:ascii="Times New Roman" w:hAnsi="Times New Roman"/>
                <w:color w:val="000000"/>
                <w:sz w:val="20"/>
              </w:rPr>
              <w:t>%</w:t>
            </w:r>
          </w:p>
        </w:tc>
        <w:tc>
          <w:tcPr>
            <w:tcW w:w="1027" w:type="dxa"/>
            <w:gridSpan w:val="2"/>
            <w:tcBorders>
              <w:top w:val="nil"/>
              <w:left w:val="nil"/>
              <w:bottom w:val="single" w:sz="4" w:space="0" w:color="auto"/>
              <w:right w:val="single" w:sz="4" w:space="0" w:color="auto"/>
            </w:tcBorders>
            <w:shd w:val="clear" w:color="auto" w:fill="auto"/>
            <w:noWrap/>
            <w:vAlign w:val="center"/>
          </w:tcPr>
          <w:p w14:paraId="673D17D0" w14:textId="7547C886"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-0,49</w:t>
            </w:r>
            <w:r w:rsidRPr="00A467B6">
              <w:rPr>
                <w:rFonts w:ascii="Times New Roman" w:hAnsi="Times New Roman"/>
                <w:color w:val="000000"/>
                <w:sz w:val="20"/>
              </w:rPr>
              <w:t>7</w:t>
            </w:r>
            <w:r w:rsidR="00A467B6" w:rsidRPr="00A467B6">
              <w:rPr>
                <w:rFonts w:ascii="Times New Roman" w:hAnsi="Times New Roman"/>
                <w:color w:val="000000"/>
                <w:sz w:val="20"/>
              </w:rPr>
              <w:t> </w:t>
            </w:r>
            <w:r w:rsidRPr="00A467B6">
              <w:rPr>
                <w:rFonts w:ascii="Times New Roman" w:hAnsi="Times New Roman"/>
                <w:color w:val="000000"/>
                <w:sz w:val="20"/>
              </w:rPr>
              <w:t>%</w:t>
            </w:r>
          </w:p>
        </w:tc>
        <w:tc>
          <w:tcPr>
            <w:tcW w:w="1077" w:type="dxa"/>
            <w:tcBorders>
              <w:top w:val="nil"/>
              <w:left w:val="nil"/>
              <w:bottom w:val="single" w:sz="4" w:space="0" w:color="auto"/>
              <w:right w:val="single" w:sz="8" w:space="0" w:color="auto"/>
            </w:tcBorders>
            <w:shd w:val="clear" w:color="auto" w:fill="auto"/>
            <w:noWrap/>
            <w:vAlign w:val="center"/>
          </w:tcPr>
          <w:p w14:paraId="2DC778E8" w14:textId="28889A5F"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0,13</w:t>
            </w:r>
            <w:r w:rsidRPr="00A467B6">
              <w:rPr>
                <w:rFonts w:ascii="Times New Roman" w:hAnsi="Times New Roman"/>
                <w:color w:val="000000"/>
                <w:sz w:val="20"/>
              </w:rPr>
              <w:t>4</w:t>
            </w:r>
            <w:r w:rsidR="00A467B6" w:rsidRPr="00A467B6">
              <w:rPr>
                <w:rFonts w:ascii="Times New Roman" w:hAnsi="Times New Roman"/>
                <w:color w:val="000000"/>
                <w:sz w:val="20"/>
              </w:rPr>
              <w:t> </w:t>
            </w:r>
            <w:r w:rsidRPr="00A467B6">
              <w:rPr>
                <w:rFonts w:ascii="Times New Roman" w:hAnsi="Times New Roman"/>
                <w:color w:val="000000"/>
                <w:sz w:val="20"/>
              </w:rPr>
              <w:t>%</w:t>
            </w:r>
          </w:p>
        </w:tc>
      </w:tr>
      <w:tr w:rsidR="009D29AB" w:rsidRPr="009D29AB" w14:paraId="6576D0E7" w14:textId="77777777" w:rsidTr="00FB1D87">
        <w:trPr>
          <w:gridAfter w:val="1"/>
          <w:wAfter w:w="20" w:type="dxa"/>
          <w:trHeight w:val="292"/>
        </w:trPr>
        <w:tc>
          <w:tcPr>
            <w:tcW w:w="1550" w:type="dxa"/>
            <w:tcBorders>
              <w:top w:val="nil"/>
              <w:left w:val="single" w:sz="8" w:space="0" w:color="auto"/>
              <w:bottom w:val="single" w:sz="4" w:space="0" w:color="auto"/>
              <w:right w:val="nil"/>
            </w:tcBorders>
            <w:shd w:val="clear" w:color="000000" w:fill="BDD7EE"/>
            <w:noWrap/>
            <w:vAlign w:val="center"/>
          </w:tcPr>
          <w:p w14:paraId="45558AFE"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Spread</w:t>
            </w:r>
          </w:p>
        </w:tc>
        <w:tc>
          <w:tcPr>
            <w:tcW w:w="1134" w:type="dxa"/>
            <w:tcBorders>
              <w:top w:val="nil"/>
              <w:left w:val="single" w:sz="8" w:space="0" w:color="auto"/>
              <w:bottom w:val="single" w:sz="4" w:space="0" w:color="auto"/>
              <w:right w:val="single" w:sz="4" w:space="0" w:color="auto"/>
            </w:tcBorders>
            <w:shd w:val="clear" w:color="000000" w:fill="BDD7EE"/>
            <w:noWrap/>
            <w:vAlign w:val="center"/>
          </w:tcPr>
          <w:p w14:paraId="7DC207E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+3 punkty bazowe</w:t>
            </w:r>
          </w:p>
        </w:tc>
        <w:tc>
          <w:tcPr>
            <w:tcW w:w="1063" w:type="dxa"/>
            <w:tcBorders>
              <w:top w:val="nil"/>
              <w:left w:val="nil"/>
              <w:bottom w:val="single" w:sz="4" w:space="0" w:color="auto"/>
              <w:right w:val="single" w:sz="8" w:space="0" w:color="auto"/>
            </w:tcBorders>
            <w:shd w:val="clear" w:color="000000" w:fill="BDD7EE"/>
            <w:noWrap/>
            <w:vAlign w:val="center"/>
          </w:tcPr>
          <w:p w14:paraId="17B68D7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+14 punktów bazowych</w:t>
            </w:r>
          </w:p>
        </w:tc>
        <w:tc>
          <w:tcPr>
            <w:tcW w:w="1027" w:type="dxa"/>
            <w:gridSpan w:val="2"/>
            <w:tcBorders>
              <w:top w:val="nil"/>
              <w:left w:val="nil"/>
              <w:bottom w:val="single" w:sz="4" w:space="0" w:color="auto"/>
              <w:right w:val="single" w:sz="4" w:space="0" w:color="auto"/>
            </w:tcBorders>
            <w:shd w:val="clear" w:color="000000" w:fill="BDD7EE"/>
            <w:noWrap/>
            <w:vAlign w:val="center"/>
          </w:tcPr>
          <w:p w14:paraId="515D4EEA"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-9 punktów bazowych</w:t>
            </w:r>
          </w:p>
        </w:tc>
        <w:tc>
          <w:tcPr>
            <w:tcW w:w="1027" w:type="dxa"/>
            <w:tcBorders>
              <w:top w:val="nil"/>
              <w:left w:val="nil"/>
              <w:bottom w:val="single" w:sz="4" w:space="0" w:color="auto"/>
              <w:right w:val="nil"/>
            </w:tcBorders>
            <w:shd w:val="clear" w:color="000000" w:fill="BDD7EE"/>
            <w:noWrap/>
            <w:vAlign w:val="center"/>
          </w:tcPr>
          <w:p w14:paraId="03A9548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+21 punktów bazowych</w:t>
            </w:r>
          </w:p>
        </w:tc>
        <w:tc>
          <w:tcPr>
            <w:tcW w:w="1269" w:type="dxa"/>
            <w:gridSpan w:val="2"/>
            <w:tcBorders>
              <w:top w:val="nil"/>
              <w:left w:val="single" w:sz="8" w:space="0" w:color="auto"/>
              <w:bottom w:val="single" w:sz="4" w:space="0" w:color="auto"/>
              <w:right w:val="single" w:sz="8" w:space="0" w:color="auto"/>
            </w:tcBorders>
            <w:shd w:val="clear" w:color="000000" w:fill="BDD7EE"/>
            <w:noWrap/>
            <w:vAlign w:val="center"/>
          </w:tcPr>
          <w:p w14:paraId="121D947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-5 punktów bazowych</w:t>
            </w:r>
          </w:p>
        </w:tc>
        <w:tc>
          <w:tcPr>
            <w:tcW w:w="1027" w:type="dxa"/>
            <w:gridSpan w:val="2"/>
            <w:tcBorders>
              <w:top w:val="nil"/>
              <w:left w:val="nil"/>
              <w:bottom w:val="single" w:sz="4" w:space="0" w:color="auto"/>
              <w:right w:val="single" w:sz="4" w:space="0" w:color="auto"/>
            </w:tcBorders>
            <w:shd w:val="clear" w:color="000000" w:fill="BDD7EE"/>
            <w:noWrap/>
            <w:vAlign w:val="center"/>
          </w:tcPr>
          <w:p w14:paraId="13D6758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-16 punktów bazowych</w:t>
            </w:r>
          </w:p>
        </w:tc>
        <w:tc>
          <w:tcPr>
            <w:tcW w:w="1077" w:type="dxa"/>
            <w:tcBorders>
              <w:top w:val="nil"/>
              <w:left w:val="nil"/>
              <w:bottom w:val="single" w:sz="4" w:space="0" w:color="auto"/>
              <w:right w:val="single" w:sz="8" w:space="0" w:color="auto"/>
            </w:tcBorders>
            <w:shd w:val="clear" w:color="000000" w:fill="BDD7EE"/>
            <w:noWrap/>
            <w:vAlign w:val="center"/>
          </w:tcPr>
          <w:p w14:paraId="25666D2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MS +5 punktów bazowych</w:t>
            </w:r>
          </w:p>
        </w:tc>
      </w:tr>
      <w:tr w:rsidR="009D29AB" w:rsidRPr="009D29AB" w14:paraId="314F5A28" w14:textId="77777777" w:rsidTr="00FB1D87">
        <w:trPr>
          <w:gridAfter w:val="1"/>
          <w:wAfter w:w="20" w:type="dxa"/>
          <w:trHeight w:val="292"/>
        </w:trPr>
        <w:tc>
          <w:tcPr>
            <w:tcW w:w="1550" w:type="dxa"/>
            <w:tcBorders>
              <w:top w:val="nil"/>
              <w:left w:val="single" w:sz="8" w:space="0" w:color="auto"/>
              <w:bottom w:val="single" w:sz="4" w:space="0" w:color="auto"/>
              <w:right w:val="nil"/>
            </w:tcBorders>
            <w:shd w:val="clear" w:color="auto" w:fill="auto"/>
            <w:noWrap/>
            <w:vAlign w:val="center"/>
          </w:tcPr>
          <w:p w14:paraId="1A39164C" w14:textId="41CF7082"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Premia za zakup obligacji</w:t>
            </w:r>
            <w:r w:rsidR="00A467B6">
              <w:rPr>
                <w:rFonts w:ascii="Times New Roman" w:hAnsi="Times New Roman"/>
                <w:color w:val="000000"/>
                <w:sz w:val="20"/>
              </w:rPr>
              <w:t xml:space="preserve"> z now</w:t>
            </w:r>
            <w:r>
              <w:rPr>
                <w:rFonts w:ascii="Times New Roman" w:hAnsi="Times New Roman"/>
                <w:color w:val="000000"/>
                <w:sz w:val="20"/>
              </w:rPr>
              <w:t>ej emisji</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1B19161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punkt bazowy</w:t>
            </w:r>
          </w:p>
        </w:tc>
        <w:tc>
          <w:tcPr>
            <w:tcW w:w="1063" w:type="dxa"/>
            <w:tcBorders>
              <w:top w:val="nil"/>
              <w:left w:val="nil"/>
              <w:bottom w:val="single" w:sz="4" w:space="0" w:color="auto"/>
              <w:right w:val="single" w:sz="8" w:space="0" w:color="auto"/>
            </w:tcBorders>
            <w:shd w:val="clear" w:color="auto" w:fill="auto"/>
            <w:noWrap/>
            <w:vAlign w:val="center"/>
          </w:tcPr>
          <w:p w14:paraId="2C701CFC"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 punkty bazowe</w:t>
            </w:r>
          </w:p>
        </w:tc>
        <w:tc>
          <w:tcPr>
            <w:tcW w:w="1027" w:type="dxa"/>
            <w:gridSpan w:val="2"/>
            <w:tcBorders>
              <w:top w:val="nil"/>
              <w:left w:val="nil"/>
              <w:bottom w:val="single" w:sz="4" w:space="0" w:color="auto"/>
              <w:right w:val="single" w:sz="4" w:space="0" w:color="auto"/>
            </w:tcBorders>
            <w:shd w:val="clear" w:color="auto" w:fill="auto"/>
            <w:noWrap/>
            <w:vAlign w:val="center"/>
          </w:tcPr>
          <w:p w14:paraId="6414B9B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+1,5 punktu bazowego</w:t>
            </w:r>
          </w:p>
        </w:tc>
        <w:tc>
          <w:tcPr>
            <w:tcW w:w="1027" w:type="dxa"/>
            <w:tcBorders>
              <w:top w:val="nil"/>
              <w:left w:val="nil"/>
              <w:bottom w:val="single" w:sz="4" w:space="0" w:color="auto"/>
              <w:right w:val="nil"/>
            </w:tcBorders>
            <w:shd w:val="clear" w:color="auto" w:fill="auto"/>
            <w:noWrap/>
            <w:vAlign w:val="center"/>
          </w:tcPr>
          <w:p w14:paraId="0A25E7AB"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+2,5 punktu bazowego</w:t>
            </w:r>
          </w:p>
        </w:tc>
        <w:tc>
          <w:tcPr>
            <w:tcW w:w="1269" w:type="dxa"/>
            <w:gridSpan w:val="2"/>
            <w:tcBorders>
              <w:top w:val="nil"/>
              <w:left w:val="single" w:sz="8" w:space="0" w:color="auto"/>
              <w:bottom w:val="single" w:sz="4" w:space="0" w:color="auto"/>
              <w:right w:val="single" w:sz="8" w:space="0" w:color="auto"/>
            </w:tcBorders>
            <w:shd w:val="clear" w:color="auto" w:fill="auto"/>
            <w:noWrap/>
            <w:vAlign w:val="center"/>
          </w:tcPr>
          <w:p w14:paraId="6B354F74"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punkt bazowy</w:t>
            </w:r>
          </w:p>
        </w:tc>
        <w:tc>
          <w:tcPr>
            <w:tcW w:w="1027" w:type="dxa"/>
            <w:gridSpan w:val="2"/>
            <w:tcBorders>
              <w:top w:val="nil"/>
              <w:left w:val="nil"/>
              <w:bottom w:val="single" w:sz="4" w:space="0" w:color="auto"/>
              <w:right w:val="single" w:sz="4" w:space="0" w:color="auto"/>
            </w:tcBorders>
            <w:shd w:val="clear" w:color="auto" w:fill="auto"/>
            <w:noWrap/>
            <w:vAlign w:val="center"/>
          </w:tcPr>
          <w:p w14:paraId="7736082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punkt bazowy</w:t>
            </w:r>
          </w:p>
        </w:tc>
        <w:tc>
          <w:tcPr>
            <w:tcW w:w="1077" w:type="dxa"/>
            <w:tcBorders>
              <w:top w:val="nil"/>
              <w:left w:val="nil"/>
              <w:bottom w:val="single" w:sz="4" w:space="0" w:color="auto"/>
              <w:right w:val="single" w:sz="8" w:space="0" w:color="auto"/>
            </w:tcBorders>
            <w:shd w:val="clear" w:color="auto" w:fill="auto"/>
            <w:noWrap/>
            <w:vAlign w:val="center"/>
          </w:tcPr>
          <w:p w14:paraId="6EE3B97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 punkt bazowy</w:t>
            </w:r>
          </w:p>
        </w:tc>
      </w:tr>
      <w:tr w:rsidR="009D29AB" w:rsidRPr="009D29AB" w14:paraId="4ED6F461" w14:textId="77777777" w:rsidTr="00FB1D87">
        <w:trPr>
          <w:gridAfter w:val="1"/>
          <w:wAfter w:w="20" w:type="dxa"/>
          <w:trHeight w:val="292"/>
        </w:trPr>
        <w:tc>
          <w:tcPr>
            <w:tcW w:w="1550" w:type="dxa"/>
            <w:tcBorders>
              <w:top w:val="nil"/>
              <w:left w:val="single" w:sz="8" w:space="0" w:color="auto"/>
              <w:bottom w:val="single" w:sz="4" w:space="0" w:color="auto"/>
              <w:right w:val="nil"/>
            </w:tcBorders>
            <w:shd w:val="clear" w:color="000000" w:fill="BDD7EE"/>
            <w:noWrap/>
            <w:vAlign w:val="center"/>
          </w:tcPr>
          <w:p w14:paraId="4C428C78" w14:textId="77777777" w:rsidR="009D29AB" w:rsidRPr="009D29AB" w:rsidRDefault="009D29AB" w:rsidP="009D29AB">
            <w:pPr>
              <w:spacing w:after="0" w:line="240" w:lineRule="auto"/>
              <w:rPr>
                <w:rFonts w:ascii="Times New Roman" w:eastAsia="Times New Roman" w:hAnsi="Times New Roman" w:cs="Times New Roman"/>
                <w:color w:val="000000"/>
                <w:sz w:val="20"/>
              </w:rPr>
            </w:pPr>
            <w:r>
              <w:rPr>
                <w:rFonts w:ascii="Times New Roman" w:hAnsi="Times New Roman"/>
                <w:color w:val="000000"/>
                <w:sz w:val="20"/>
              </w:rPr>
              <w:t>Popyt wśród inwestorów ogółem</w:t>
            </w:r>
          </w:p>
        </w:tc>
        <w:tc>
          <w:tcPr>
            <w:tcW w:w="1134" w:type="dxa"/>
            <w:tcBorders>
              <w:top w:val="nil"/>
              <w:left w:val="single" w:sz="8" w:space="0" w:color="auto"/>
              <w:bottom w:val="single" w:sz="4" w:space="0" w:color="auto"/>
              <w:right w:val="single" w:sz="4" w:space="0" w:color="auto"/>
            </w:tcBorders>
            <w:shd w:val="clear" w:color="000000" w:fill="BDD7EE"/>
            <w:noWrap/>
            <w:vAlign w:val="center"/>
          </w:tcPr>
          <w:p w14:paraId="3013AC9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145 mld</w:t>
            </w:r>
          </w:p>
        </w:tc>
        <w:tc>
          <w:tcPr>
            <w:tcW w:w="1063" w:type="dxa"/>
            <w:tcBorders>
              <w:top w:val="nil"/>
              <w:left w:val="nil"/>
              <w:bottom w:val="single" w:sz="4" w:space="0" w:color="auto"/>
              <w:right w:val="single" w:sz="8" w:space="0" w:color="auto"/>
            </w:tcBorders>
            <w:shd w:val="clear" w:color="000000" w:fill="BDD7EE"/>
            <w:noWrap/>
            <w:vAlign w:val="center"/>
          </w:tcPr>
          <w:p w14:paraId="7DCFE96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88 mld</w:t>
            </w:r>
          </w:p>
        </w:tc>
        <w:tc>
          <w:tcPr>
            <w:tcW w:w="1027" w:type="dxa"/>
            <w:gridSpan w:val="2"/>
            <w:tcBorders>
              <w:top w:val="nil"/>
              <w:left w:val="nil"/>
              <w:bottom w:val="single" w:sz="4" w:space="0" w:color="auto"/>
              <w:right w:val="single" w:sz="4" w:space="0" w:color="auto"/>
            </w:tcBorders>
            <w:shd w:val="clear" w:color="000000" w:fill="BDD7EE"/>
            <w:noWrap/>
            <w:vAlign w:val="center"/>
          </w:tcPr>
          <w:p w14:paraId="2C39ED22"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105 mld</w:t>
            </w:r>
          </w:p>
        </w:tc>
        <w:tc>
          <w:tcPr>
            <w:tcW w:w="1027" w:type="dxa"/>
            <w:tcBorders>
              <w:top w:val="nil"/>
              <w:left w:val="nil"/>
              <w:bottom w:val="single" w:sz="4" w:space="0" w:color="auto"/>
              <w:right w:val="nil"/>
            </w:tcBorders>
            <w:shd w:val="clear" w:color="000000" w:fill="BDD7EE"/>
            <w:noWrap/>
            <w:vAlign w:val="center"/>
          </w:tcPr>
          <w:p w14:paraId="454B0D97"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70 mld</w:t>
            </w:r>
          </w:p>
        </w:tc>
        <w:tc>
          <w:tcPr>
            <w:tcW w:w="1269" w:type="dxa"/>
            <w:gridSpan w:val="2"/>
            <w:tcBorders>
              <w:top w:val="nil"/>
              <w:left w:val="single" w:sz="8" w:space="0" w:color="auto"/>
              <w:bottom w:val="single" w:sz="4" w:space="0" w:color="auto"/>
              <w:right w:val="single" w:sz="8" w:space="0" w:color="auto"/>
            </w:tcBorders>
            <w:shd w:val="clear" w:color="000000" w:fill="BDD7EE"/>
            <w:noWrap/>
            <w:vAlign w:val="center"/>
          </w:tcPr>
          <w:p w14:paraId="6B552455"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114 mld</w:t>
            </w:r>
          </w:p>
        </w:tc>
        <w:tc>
          <w:tcPr>
            <w:tcW w:w="1027" w:type="dxa"/>
            <w:gridSpan w:val="2"/>
            <w:tcBorders>
              <w:top w:val="nil"/>
              <w:left w:val="nil"/>
              <w:bottom w:val="single" w:sz="4" w:space="0" w:color="auto"/>
              <w:right w:val="single" w:sz="4" w:space="0" w:color="auto"/>
            </w:tcBorders>
            <w:shd w:val="clear" w:color="000000" w:fill="BDD7EE"/>
            <w:noWrap/>
            <w:vAlign w:val="center"/>
          </w:tcPr>
          <w:p w14:paraId="3C5FBFD9"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83 mld</w:t>
            </w:r>
          </w:p>
        </w:tc>
        <w:tc>
          <w:tcPr>
            <w:tcW w:w="1077" w:type="dxa"/>
            <w:tcBorders>
              <w:top w:val="nil"/>
              <w:left w:val="nil"/>
              <w:bottom w:val="single" w:sz="4" w:space="0" w:color="auto"/>
              <w:right w:val="single" w:sz="8" w:space="0" w:color="auto"/>
            </w:tcBorders>
            <w:shd w:val="clear" w:color="000000" w:fill="BDD7EE"/>
            <w:noWrap/>
            <w:vAlign w:val="center"/>
          </w:tcPr>
          <w:p w14:paraId="404FC21F" w14:textId="77777777" w:rsidR="009D29AB" w:rsidRPr="009D29AB" w:rsidRDefault="009D29AB" w:rsidP="009D29AB">
            <w:pPr>
              <w:spacing w:after="0" w:line="240" w:lineRule="auto"/>
              <w:jc w:val="center"/>
              <w:rPr>
                <w:rFonts w:ascii="Times New Roman" w:eastAsia="Times New Roman" w:hAnsi="Times New Roman" w:cs="Times New Roman"/>
                <w:color w:val="000000"/>
                <w:sz w:val="20"/>
              </w:rPr>
            </w:pPr>
            <w:r>
              <w:rPr>
                <w:rFonts w:ascii="Times New Roman" w:hAnsi="Times New Roman"/>
                <w:color w:val="000000"/>
                <w:sz w:val="20"/>
              </w:rPr>
              <w:t>49 mld</w:t>
            </w:r>
          </w:p>
        </w:tc>
      </w:tr>
      <w:tr w:rsidR="009D29AB" w:rsidRPr="009D29AB" w14:paraId="52D0649F" w14:textId="77777777" w:rsidTr="00FB1D87">
        <w:trPr>
          <w:gridAfter w:val="1"/>
          <w:wAfter w:w="20" w:type="dxa"/>
          <w:trHeight w:val="536"/>
        </w:trPr>
        <w:tc>
          <w:tcPr>
            <w:tcW w:w="1550" w:type="dxa"/>
            <w:tcBorders>
              <w:top w:val="nil"/>
              <w:left w:val="single" w:sz="8" w:space="0" w:color="auto"/>
              <w:bottom w:val="single" w:sz="8" w:space="0" w:color="auto"/>
              <w:right w:val="nil"/>
            </w:tcBorders>
            <w:shd w:val="clear" w:color="auto" w:fill="auto"/>
            <w:noWrap/>
            <w:vAlign w:val="center"/>
          </w:tcPr>
          <w:p w14:paraId="276A1444" w14:textId="77777777" w:rsidR="009D29AB" w:rsidRPr="009D29AB" w:rsidRDefault="009D29AB" w:rsidP="009D29AB">
            <w:pPr>
              <w:spacing w:after="0" w:line="240" w:lineRule="auto"/>
              <w:rPr>
                <w:rFonts w:ascii="Times New Roman" w:eastAsia="Times New Roman" w:hAnsi="Times New Roman" w:cs="Times New Roman"/>
                <w:color w:val="000000"/>
                <w:sz w:val="20"/>
                <w:highlight w:val="yellow"/>
              </w:rPr>
            </w:pPr>
            <w:r>
              <w:rPr>
                <w:rFonts w:ascii="Times New Roman" w:hAnsi="Times New Roman"/>
                <w:color w:val="000000"/>
                <w:sz w:val="20"/>
              </w:rPr>
              <w:t>Wskaźnik pokrycia popytu</w:t>
            </w:r>
          </w:p>
        </w:tc>
        <w:tc>
          <w:tcPr>
            <w:tcW w:w="1134" w:type="dxa"/>
            <w:tcBorders>
              <w:top w:val="nil"/>
              <w:left w:val="single" w:sz="8" w:space="0" w:color="auto"/>
              <w:bottom w:val="single" w:sz="8" w:space="0" w:color="auto"/>
              <w:right w:val="single" w:sz="4" w:space="0" w:color="auto"/>
            </w:tcBorders>
            <w:shd w:val="clear" w:color="auto" w:fill="auto"/>
            <w:noWrap/>
            <w:vAlign w:val="center"/>
          </w:tcPr>
          <w:p w14:paraId="2B98452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15</w:t>
            </w:r>
          </w:p>
        </w:tc>
        <w:tc>
          <w:tcPr>
            <w:tcW w:w="1063" w:type="dxa"/>
            <w:tcBorders>
              <w:top w:val="nil"/>
              <w:left w:val="nil"/>
              <w:bottom w:val="single" w:sz="8" w:space="0" w:color="auto"/>
              <w:right w:val="single" w:sz="8" w:space="0" w:color="auto"/>
            </w:tcBorders>
            <w:shd w:val="clear" w:color="auto" w:fill="auto"/>
            <w:noWrap/>
            <w:vAlign w:val="center"/>
          </w:tcPr>
          <w:p w14:paraId="0BA2AC56"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1027" w:type="dxa"/>
            <w:gridSpan w:val="2"/>
            <w:tcBorders>
              <w:top w:val="nil"/>
              <w:left w:val="nil"/>
              <w:bottom w:val="single" w:sz="8" w:space="0" w:color="auto"/>
              <w:right w:val="single" w:sz="4" w:space="0" w:color="auto"/>
            </w:tcBorders>
            <w:shd w:val="clear" w:color="auto" w:fill="auto"/>
            <w:noWrap/>
            <w:vAlign w:val="center"/>
          </w:tcPr>
          <w:p w14:paraId="7ABA22AD"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1027" w:type="dxa"/>
            <w:tcBorders>
              <w:top w:val="nil"/>
              <w:left w:val="nil"/>
              <w:bottom w:val="single" w:sz="8" w:space="0" w:color="auto"/>
              <w:right w:val="nil"/>
            </w:tcBorders>
            <w:shd w:val="clear" w:color="auto" w:fill="auto"/>
            <w:noWrap/>
            <w:vAlign w:val="center"/>
          </w:tcPr>
          <w:p w14:paraId="51D132F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c>
          <w:tcPr>
            <w:tcW w:w="1269" w:type="dxa"/>
            <w:gridSpan w:val="2"/>
            <w:tcBorders>
              <w:top w:val="nil"/>
              <w:left w:val="single" w:sz="8" w:space="0" w:color="auto"/>
              <w:bottom w:val="single" w:sz="8" w:space="0" w:color="auto"/>
              <w:right w:val="single" w:sz="8" w:space="0" w:color="auto"/>
            </w:tcBorders>
            <w:shd w:val="clear" w:color="auto" w:fill="auto"/>
            <w:noWrap/>
            <w:vAlign w:val="center"/>
          </w:tcPr>
          <w:p w14:paraId="619D3221"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13</w:t>
            </w:r>
          </w:p>
        </w:tc>
        <w:tc>
          <w:tcPr>
            <w:tcW w:w="1027" w:type="dxa"/>
            <w:gridSpan w:val="2"/>
            <w:tcBorders>
              <w:top w:val="nil"/>
              <w:left w:val="nil"/>
              <w:bottom w:val="single" w:sz="8" w:space="0" w:color="auto"/>
              <w:right w:val="single" w:sz="4" w:space="0" w:color="auto"/>
            </w:tcBorders>
            <w:shd w:val="clear" w:color="auto" w:fill="auto"/>
            <w:noWrap/>
            <w:vAlign w:val="center"/>
          </w:tcPr>
          <w:p w14:paraId="6698F440"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8</w:t>
            </w:r>
          </w:p>
        </w:tc>
        <w:tc>
          <w:tcPr>
            <w:tcW w:w="1077" w:type="dxa"/>
            <w:tcBorders>
              <w:top w:val="nil"/>
              <w:left w:val="nil"/>
              <w:bottom w:val="single" w:sz="8" w:space="0" w:color="auto"/>
              <w:right w:val="single" w:sz="8" w:space="0" w:color="auto"/>
            </w:tcBorders>
            <w:shd w:val="clear" w:color="auto" w:fill="auto"/>
            <w:noWrap/>
            <w:vAlign w:val="center"/>
          </w:tcPr>
          <w:p w14:paraId="14DF3A68" w14:textId="77777777" w:rsidR="009D29AB" w:rsidRPr="009D29AB" w:rsidRDefault="009D29AB" w:rsidP="009D29AB">
            <w:pPr>
              <w:spacing w:after="0" w:line="240" w:lineRule="auto"/>
              <w:jc w:val="center"/>
              <w:rPr>
                <w:rFonts w:ascii="Times New Roman" w:eastAsia="Times New Roman" w:hAnsi="Times New Roman" w:cs="Times New Roman"/>
                <w:color w:val="000000"/>
                <w:sz w:val="20"/>
                <w:highlight w:val="yellow"/>
              </w:rPr>
            </w:pPr>
            <w:r>
              <w:rPr>
                <w:rFonts w:ascii="Times New Roman" w:hAnsi="Times New Roman"/>
                <w:color w:val="000000"/>
                <w:sz w:val="20"/>
                <w:szCs w:val="20"/>
              </w:rPr>
              <w:t>12</w:t>
            </w:r>
          </w:p>
        </w:tc>
      </w:tr>
    </w:tbl>
    <w:p w14:paraId="1FB1147C" w14:textId="0AF2B229" w:rsidR="009D29AB" w:rsidRPr="009D29AB" w:rsidRDefault="009D29AB" w:rsidP="009D29AB">
      <w:pPr>
        <w:spacing w:after="0"/>
        <w:jc w:val="both"/>
        <w:rPr>
          <w:rFonts w:ascii="Times New Roman" w:hAnsi="Times New Roman" w:cs="Times New Roman"/>
          <w:color w:val="000000" w:themeColor="text1"/>
          <w:sz w:val="18"/>
        </w:rPr>
      </w:pPr>
      <w:r>
        <w:rPr>
          <w:rFonts w:ascii="Times New Roman" w:hAnsi="Times New Roman"/>
          <w:color w:val="000000" w:themeColor="text1"/>
          <w:sz w:val="18"/>
        </w:rPr>
        <w:t>Uwaga: statystyki te dotyczą operacji zaciągania pożyczek przez Komisję</w:t>
      </w:r>
      <w:r w:rsidR="00A467B6">
        <w:rPr>
          <w:rFonts w:ascii="Times New Roman" w:hAnsi="Times New Roman"/>
          <w:color w:val="000000" w:themeColor="text1"/>
          <w:sz w:val="18"/>
        </w:rPr>
        <w:t xml:space="preserve"> w imi</w:t>
      </w:r>
      <w:r>
        <w:rPr>
          <w:rFonts w:ascii="Times New Roman" w:hAnsi="Times New Roman"/>
          <w:color w:val="000000" w:themeColor="text1"/>
          <w:sz w:val="18"/>
        </w:rPr>
        <w:t>eniu Unii. MS oznacza medianę stóp swapowych (</w:t>
      </w:r>
      <w:r>
        <w:rPr>
          <w:rFonts w:ascii="Times New Roman" w:hAnsi="Times New Roman"/>
          <w:i/>
          <w:iCs/>
          <w:color w:val="000000" w:themeColor="text1"/>
          <w:sz w:val="18"/>
        </w:rPr>
        <w:t>mid-swap</w:t>
      </w:r>
      <w:r>
        <w:rPr>
          <w:rFonts w:ascii="Times New Roman" w:hAnsi="Times New Roman"/>
          <w:color w:val="000000" w:themeColor="text1"/>
          <w:sz w:val="18"/>
        </w:rPr>
        <w:t>). Premia za zakup obligacji</w:t>
      </w:r>
      <w:r w:rsidR="00A467B6">
        <w:rPr>
          <w:rFonts w:ascii="Times New Roman" w:hAnsi="Times New Roman"/>
          <w:color w:val="000000" w:themeColor="text1"/>
          <w:sz w:val="18"/>
        </w:rPr>
        <w:t xml:space="preserve"> z now</w:t>
      </w:r>
      <w:r>
        <w:rPr>
          <w:rFonts w:ascii="Times New Roman" w:hAnsi="Times New Roman"/>
          <w:color w:val="000000" w:themeColor="text1"/>
          <w:sz w:val="18"/>
        </w:rPr>
        <w:t>ej emisji oznacza premię wypłacaną inwestorom</w:t>
      </w:r>
      <w:r w:rsidR="00A467B6">
        <w:rPr>
          <w:rFonts w:ascii="Times New Roman" w:hAnsi="Times New Roman"/>
          <w:color w:val="000000" w:themeColor="text1"/>
          <w:sz w:val="18"/>
        </w:rPr>
        <w:t xml:space="preserve"> z tyt</w:t>
      </w:r>
      <w:r>
        <w:rPr>
          <w:rFonts w:ascii="Times New Roman" w:hAnsi="Times New Roman"/>
          <w:color w:val="000000" w:themeColor="text1"/>
          <w:sz w:val="18"/>
        </w:rPr>
        <w:t>ułu nabycia nowo wyemitowanej obligacji powyżej wartości spreadu oczekiwanego</w:t>
      </w:r>
      <w:r w:rsidR="00A467B6">
        <w:rPr>
          <w:rFonts w:ascii="Times New Roman" w:hAnsi="Times New Roman"/>
          <w:color w:val="000000" w:themeColor="text1"/>
          <w:sz w:val="18"/>
        </w:rPr>
        <w:t xml:space="preserve"> w prz</w:t>
      </w:r>
      <w:r>
        <w:rPr>
          <w:rFonts w:ascii="Times New Roman" w:hAnsi="Times New Roman"/>
          <w:color w:val="000000" w:themeColor="text1"/>
          <w:sz w:val="18"/>
        </w:rPr>
        <w:t>ypadku podobnych obligacji będących</w:t>
      </w:r>
      <w:r w:rsidR="00A467B6">
        <w:rPr>
          <w:rFonts w:ascii="Times New Roman" w:hAnsi="Times New Roman"/>
          <w:color w:val="000000" w:themeColor="text1"/>
          <w:sz w:val="18"/>
        </w:rPr>
        <w:t xml:space="preserve"> w obr</w:t>
      </w:r>
      <w:r>
        <w:rPr>
          <w:rFonts w:ascii="Times New Roman" w:hAnsi="Times New Roman"/>
          <w:color w:val="000000" w:themeColor="text1"/>
          <w:sz w:val="18"/>
        </w:rPr>
        <w:t>ocie na rynku wtórnym.</w:t>
      </w:r>
    </w:p>
    <w:p w14:paraId="676BA206" w14:textId="77777777" w:rsidR="009D29AB" w:rsidRPr="000C43EC" w:rsidRDefault="009D29AB" w:rsidP="009D29AB">
      <w:pPr>
        <w:spacing w:before="120" w:after="120"/>
        <w:jc w:val="both"/>
        <w:rPr>
          <w:rFonts w:ascii="Times New Roman" w:hAnsi="Times New Roman" w:cs="Times New Roman"/>
          <w:b/>
          <w:color w:val="000000" w:themeColor="text1"/>
          <w:sz w:val="24"/>
        </w:rPr>
      </w:pPr>
    </w:p>
    <w:p w14:paraId="2733BD3D" w14:textId="70D82CA6"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Pierwszą transakcję SURE na kwotę 17 mld EUR przeprowadzono pomyślnie</w:t>
      </w:r>
      <w:r w:rsidR="00A467B6">
        <w:rPr>
          <w:rFonts w:ascii="Times New Roman" w:hAnsi="Times New Roman"/>
          <w:b/>
          <w:color w:val="000000" w:themeColor="text1"/>
          <w:sz w:val="24"/>
        </w:rPr>
        <w:t xml:space="preserve"> w dwó</w:t>
      </w:r>
      <w:r>
        <w:rPr>
          <w:rFonts w:ascii="Times New Roman" w:hAnsi="Times New Roman"/>
          <w:b/>
          <w:color w:val="000000" w:themeColor="text1"/>
          <w:sz w:val="24"/>
        </w:rPr>
        <w:t>ch transzach</w:t>
      </w:r>
      <w:r w:rsidR="00A467B6">
        <w:rPr>
          <w:rFonts w:ascii="Times New Roman" w:hAnsi="Times New Roman"/>
          <w:b/>
          <w:color w:val="000000" w:themeColor="text1"/>
          <w:sz w:val="24"/>
        </w:rPr>
        <w:t xml:space="preserve"> w dni</w:t>
      </w:r>
      <w:r>
        <w:rPr>
          <w:rFonts w:ascii="Times New Roman" w:hAnsi="Times New Roman"/>
          <w:b/>
          <w:color w:val="000000" w:themeColor="text1"/>
          <w:sz w:val="24"/>
        </w:rPr>
        <w:t>u 20 października 20</w:t>
      </w:r>
      <w:r w:rsidRPr="00A467B6">
        <w:rPr>
          <w:rFonts w:ascii="Times New Roman" w:hAnsi="Times New Roman"/>
          <w:b/>
          <w:color w:val="000000" w:themeColor="text1"/>
          <w:sz w:val="24"/>
        </w:rPr>
        <w:t>20</w:t>
      </w:r>
      <w:r w:rsidR="00A467B6" w:rsidRPr="00A467B6">
        <w:rPr>
          <w:rFonts w:ascii="Times New Roman" w:hAnsi="Times New Roman"/>
          <w:b/>
          <w:color w:val="000000" w:themeColor="text1"/>
          <w:sz w:val="24"/>
        </w:rPr>
        <w:t> </w:t>
      </w:r>
      <w:r w:rsidRPr="00A467B6">
        <w:rPr>
          <w:rFonts w:ascii="Times New Roman" w:hAnsi="Times New Roman"/>
          <w:b/>
          <w:color w:val="000000" w:themeColor="text1"/>
          <w:sz w:val="24"/>
        </w:rPr>
        <w:t>r.</w:t>
      </w:r>
      <w:r>
        <w:rPr>
          <w:rFonts w:ascii="Times New Roman" w:hAnsi="Times New Roman"/>
          <w:color w:val="000000" w:themeColor="text1"/>
          <w:sz w:val="24"/>
        </w:rPr>
        <w:t xml:space="preserve"> Wyemitowano dwa rodzaje obligacji:</w:t>
      </w:r>
      <w:r w:rsidR="00A467B6">
        <w:rPr>
          <w:rFonts w:ascii="Times New Roman" w:hAnsi="Times New Roman"/>
          <w:color w:val="000000" w:themeColor="text1"/>
          <w:sz w:val="24"/>
        </w:rPr>
        <w:t xml:space="preserve"> o war</w:t>
      </w:r>
      <w:r>
        <w:rPr>
          <w:rFonts w:ascii="Times New Roman" w:hAnsi="Times New Roman"/>
          <w:color w:val="000000" w:themeColor="text1"/>
          <w:sz w:val="24"/>
        </w:rPr>
        <w:t>tości 10 mld EUR</w:t>
      </w:r>
      <w:r w:rsidR="00A467B6">
        <w:rPr>
          <w:rFonts w:ascii="Times New Roman" w:hAnsi="Times New Roman"/>
          <w:color w:val="000000" w:themeColor="text1"/>
          <w:sz w:val="24"/>
        </w:rPr>
        <w:t xml:space="preserve"> z ter</w:t>
      </w:r>
      <w:r>
        <w:rPr>
          <w:rFonts w:ascii="Times New Roman" w:hAnsi="Times New Roman"/>
          <w:color w:val="000000" w:themeColor="text1"/>
          <w:sz w:val="24"/>
        </w:rPr>
        <w:t>minem wykupu</w:t>
      </w:r>
      <w:r w:rsidR="00A467B6">
        <w:rPr>
          <w:rFonts w:ascii="Times New Roman" w:hAnsi="Times New Roman"/>
          <w:color w:val="000000" w:themeColor="text1"/>
          <w:sz w:val="24"/>
        </w:rPr>
        <w:t xml:space="preserve"> w paź</w:t>
      </w:r>
      <w:r>
        <w:rPr>
          <w:rFonts w:ascii="Times New Roman" w:hAnsi="Times New Roman"/>
          <w:color w:val="000000" w:themeColor="text1"/>
          <w:sz w:val="24"/>
        </w:rPr>
        <w:t>dzierniku 20</w:t>
      </w:r>
      <w:r w:rsidRPr="00A467B6">
        <w:rPr>
          <w:rFonts w:ascii="Times New Roman" w:hAnsi="Times New Roman"/>
          <w:color w:val="000000" w:themeColor="text1"/>
          <w:sz w:val="24"/>
        </w:rPr>
        <w:t>30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sidR="00A467B6">
        <w:rPr>
          <w:rFonts w:ascii="Times New Roman" w:hAnsi="Times New Roman"/>
          <w:color w:val="000000" w:themeColor="text1"/>
          <w:sz w:val="24"/>
        </w:rPr>
        <w:t xml:space="preserve"> i o war</w:t>
      </w:r>
      <w:r>
        <w:rPr>
          <w:rFonts w:ascii="Times New Roman" w:hAnsi="Times New Roman"/>
          <w:color w:val="000000" w:themeColor="text1"/>
          <w:sz w:val="24"/>
        </w:rPr>
        <w:t>tości 7 mld EUR</w:t>
      </w:r>
      <w:r w:rsidR="00A467B6">
        <w:rPr>
          <w:rFonts w:ascii="Times New Roman" w:hAnsi="Times New Roman"/>
          <w:color w:val="000000" w:themeColor="text1"/>
          <w:sz w:val="24"/>
        </w:rPr>
        <w:t xml:space="preserve"> z ter</w:t>
      </w:r>
      <w:r>
        <w:rPr>
          <w:rFonts w:ascii="Times New Roman" w:hAnsi="Times New Roman"/>
          <w:color w:val="000000" w:themeColor="text1"/>
          <w:sz w:val="24"/>
        </w:rPr>
        <w:t>minem wykupu</w:t>
      </w:r>
      <w:r w:rsidR="00A467B6">
        <w:rPr>
          <w:rFonts w:ascii="Times New Roman" w:hAnsi="Times New Roman"/>
          <w:color w:val="000000" w:themeColor="text1"/>
          <w:sz w:val="24"/>
        </w:rPr>
        <w:t xml:space="preserve"> w 2</w:t>
      </w:r>
      <w:r>
        <w:rPr>
          <w:rFonts w:ascii="Times New Roman" w:hAnsi="Times New Roman"/>
          <w:color w:val="000000" w:themeColor="text1"/>
          <w:sz w:val="24"/>
        </w:rPr>
        <w:t>0</w:t>
      </w:r>
      <w:r w:rsidRPr="00A467B6">
        <w:rPr>
          <w:rFonts w:ascii="Times New Roman" w:hAnsi="Times New Roman"/>
          <w:color w:val="000000" w:themeColor="text1"/>
          <w:sz w:val="24"/>
        </w:rPr>
        <w:t>40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Inwestorzy byli bardzo zainteresowani tym posiadającym wysoki rating instrumentem, tak że oferta zakończyła się ponad 13-krotną nadsubskrypcją</w:t>
      </w:r>
      <w:r w:rsidR="00A467B6">
        <w:rPr>
          <w:rFonts w:ascii="Times New Roman" w:hAnsi="Times New Roman"/>
          <w:color w:val="000000" w:themeColor="text1"/>
          <w:sz w:val="24"/>
        </w:rPr>
        <w:t>. W dni</w:t>
      </w:r>
      <w:r>
        <w:rPr>
          <w:rFonts w:ascii="Times New Roman" w:hAnsi="Times New Roman"/>
          <w:color w:val="000000" w:themeColor="text1"/>
          <w:sz w:val="24"/>
        </w:rPr>
        <w:t>u 27 października 20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środki wypłacono Włochom, Polsce</w:t>
      </w:r>
      <w:r w:rsidR="00A467B6">
        <w:rPr>
          <w:rFonts w:ascii="Times New Roman" w:hAnsi="Times New Roman"/>
          <w:color w:val="000000" w:themeColor="text1"/>
          <w:sz w:val="24"/>
        </w:rPr>
        <w:t xml:space="preserve"> i His</w:t>
      </w:r>
      <w:r>
        <w:rPr>
          <w:rFonts w:ascii="Times New Roman" w:hAnsi="Times New Roman"/>
          <w:color w:val="000000" w:themeColor="text1"/>
          <w:sz w:val="24"/>
        </w:rPr>
        <w:t>zpanii.</w:t>
      </w:r>
    </w:p>
    <w:p w14:paraId="06EF86B5" w14:textId="43698A3C"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W dniu 10 listopada 20</w:t>
      </w:r>
      <w:r w:rsidRPr="00A467B6">
        <w:rPr>
          <w:rFonts w:ascii="Times New Roman" w:hAnsi="Times New Roman"/>
          <w:b/>
          <w:color w:val="000000" w:themeColor="text1"/>
          <w:sz w:val="24"/>
        </w:rPr>
        <w:t>20</w:t>
      </w:r>
      <w:r w:rsidR="00A467B6" w:rsidRPr="00A467B6">
        <w:rPr>
          <w:rFonts w:ascii="Times New Roman" w:hAnsi="Times New Roman"/>
          <w:b/>
          <w:color w:val="000000" w:themeColor="text1"/>
          <w:sz w:val="24"/>
        </w:rPr>
        <w:t> </w:t>
      </w:r>
      <w:r w:rsidRPr="00A467B6">
        <w:rPr>
          <w:rFonts w:ascii="Times New Roman" w:hAnsi="Times New Roman"/>
          <w:b/>
          <w:color w:val="000000" w:themeColor="text1"/>
          <w:sz w:val="24"/>
        </w:rPr>
        <w:t>r.</w:t>
      </w:r>
      <w:r>
        <w:rPr>
          <w:rFonts w:ascii="Times New Roman" w:hAnsi="Times New Roman"/>
          <w:b/>
          <w:color w:val="000000" w:themeColor="text1"/>
          <w:sz w:val="24"/>
        </w:rPr>
        <w:t xml:space="preserve"> przeprowadzono drugą transakcję SURE na łączną kwotę 14 mld EUR</w:t>
      </w:r>
      <w:r>
        <w:rPr>
          <w:rFonts w:ascii="Times New Roman" w:hAnsi="Times New Roman"/>
          <w:color w:val="000000" w:themeColor="text1"/>
          <w:sz w:val="24"/>
        </w:rPr>
        <w:t>. Tę emisję również podzielono na obligacje</w:t>
      </w:r>
      <w:r w:rsidR="00A467B6">
        <w:rPr>
          <w:rFonts w:ascii="Times New Roman" w:hAnsi="Times New Roman"/>
          <w:color w:val="000000" w:themeColor="text1"/>
          <w:sz w:val="24"/>
        </w:rPr>
        <w:t xml:space="preserve"> o dwó</w:t>
      </w:r>
      <w:r>
        <w:rPr>
          <w:rFonts w:ascii="Times New Roman" w:hAnsi="Times New Roman"/>
          <w:color w:val="000000" w:themeColor="text1"/>
          <w:sz w:val="24"/>
        </w:rPr>
        <w:t>ch różnych okresach zapadalności: obligacje</w:t>
      </w:r>
      <w:r w:rsidR="00A467B6">
        <w:rPr>
          <w:rFonts w:ascii="Times New Roman" w:hAnsi="Times New Roman"/>
          <w:color w:val="000000" w:themeColor="text1"/>
          <w:sz w:val="24"/>
        </w:rPr>
        <w:t xml:space="preserve"> o war</w:t>
      </w:r>
      <w:r>
        <w:rPr>
          <w:rFonts w:ascii="Times New Roman" w:hAnsi="Times New Roman"/>
          <w:color w:val="000000" w:themeColor="text1"/>
          <w:sz w:val="24"/>
        </w:rPr>
        <w:t>tości 8 mld EUR</w:t>
      </w:r>
      <w:r w:rsidR="00A467B6">
        <w:rPr>
          <w:rFonts w:ascii="Times New Roman" w:hAnsi="Times New Roman"/>
          <w:color w:val="000000" w:themeColor="text1"/>
          <w:sz w:val="24"/>
        </w:rPr>
        <w:t xml:space="preserve"> z ter</w:t>
      </w:r>
      <w:r>
        <w:rPr>
          <w:rFonts w:ascii="Times New Roman" w:hAnsi="Times New Roman"/>
          <w:color w:val="000000" w:themeColor="text1"/>
          <w:sz w:val="24"/>
        </w:rPr>
        <w:t>minem zapadalności</w:t>
      </w:r>
      <w:r w:rsidR="00A467B6">
        <w:rPr>
          <w:rFonts w:ascii="Times New Roman" w:hAnsi="Times New Roman"/>
          <w:color w:val="000000" w:themeColor="text1"/>
          <w:sz w:val="24"/>
        </w:rPr>
        <w:t xml:space="preserve"> w lis</w:t>
      </w:r>
      <w:r>
        <w:rPr>
          <w:rFonts w:ascii="Times New Roman" w:hAnsi="Times New Roman"/>
          <w:color w:val="000000" w:themeColor="text1"/>
          <w:sz w:val="24"/>
        </w:rPr>
        <w:t>topadzie 20</w:t>
      </w:r>
      <w:r w:rsidRPr="00A467B6">
        <w:rPr>
          <w:rFonts w:ascii="Times New Roman" w:hAnsi="Times New Roman"/>
          <w:color w:val="000000" w:themeColor="text1"/>
          <w:sz w:val="24"/>
        </w:rPr>
        <w:t>25</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oraz 6 mld EUR</w:t>
      </w:r>
      <w:r w:rsidR="00A467B6">
        <w:rPr>
          <w:rFonts w:ascii="Times New Roman" w:hAnsi="Times New Roman"/>
          <w:color w:val="000000" w:themeColor="text1"/>
          <w:sz w:val="24"/>
        </w:rPr>
        <w:t xml:space="preserve"> z ter</w:t>
      </w:r>
      <w:r>
        <w:rPr>
          <w:rFonts w:ascii="Times New Roman" w:hAnsi="Times New Roman"/>
          <w:color w:val="000000" w:themeColor="text1"/>
          <w:sz w:val="24"/>
        </w:rPr>
        <w:t>minem zapadalności</w:t>
      </w:r>
      <w:r w:rsidR="00A467B6">
        <w:rPr>
          <w:rFonts w:ascii="Times New Roman" w:hAnsi="Times New Roman"/>
          <w:color w:val="000000" w:themeColor="text1"/>
          <w:sz w:val="24"/>
        </w:rPr>
        <w:t xml:space="preserve"> w lis</w:t>
      </w:r>
      <w:r>
        <w:rPr>
          <w:rFonts w:ascii="Times New Roman" w:hAnsi="Times New Roman"/>
          <w:color w:val="000000" w:themeColor="text1"/>
          <w:sz w:val="24"/>
        </w:rPr>
        <w:t>topadzie 20</w:t>
      </w:r>
      <w:r w:rsidRPr="00A467B6">
        <w:rPr>
          <w:rFonts w:ascii="Times New Roman" w:hAnsi="Times New Roman"/>
          <w:color w:val="000000" w:themeColor="text1"/>
          <w:sz w:val="24"/>
        </w:rPr>
        <w:t>50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Środki wypłacono Chorwacji, Cyprowi, Grecji, Hiszpanii, Litwie, Łotwie, Malcie, Słowenii</w:t>
      </w:r>
      <w:r w:rsidR="00A467B6">
        <w:rPr>
          <w:rFonts w:ascii="Times New Roman" w:hAnsi="Times New Roman"/>
          <w:color w:val="000000" w:themeColor="text1"/>
          <w:sz w:val="24"/>
        </w:rPr>
        <w:t xml:space="preserve"> i Wło</w:t>
      </w:r>
      <w:r>
        <w:rPr>
          <w:rFonts w:ascii="Times New Roman" w:hAnsi="Times New Roman"/>
          <w:color w:val="000000" w:themeColor="text1"/>
          <w:sz w:val="24"/>
        </w:rPr>
        <w:t xml:space="preserve">chom. </w:t>
      </w:r>
    </w:p>
    <w:p w14:paraId="2E0F946A" w14:textId="22F9B388"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W dniu 24 listopada 20</w:t>
      </w:r>
      <w:r w:rsidRPr="00A467B6">
        <w:rPr>
          <w:rFonts w:ascii="Times New Roman" w:hAnsi="Times New Roman"/>
          <w:b/>
          <w:color w:val="000000" w:themeColor="text1"/>
          <w:sz w:val="24"/>
        </w:rPr>
        <w:t>20</w:t>
      </w:r>
      <w:r w:rsidR="00A467B6" w:rsidRPr="00A467B6">
        <w:rPr>
          <w:rFonts w:ascii="Times New Roman" w:hAnsi="Times New Roman"/>
          <w:b/>
          <w:color w:val="000000" w:themeColor="text1"/>
          <w:sz w:val="24"/>
        </w:rPr>
        <w:t> </w:t>
      </w:r>
      <w:r w:rsidRPr="00A467B6">
        <w:rPr>
          <w:rFonts w:ascii="Times New Roman" w:hAnsi="Times New Roman"/>
          <w:b/>
          <w:color w:val="000000" w:themeColor="text1"/>
          <w:sz w:val="24"/>
        </w:rPr>
        <w:t>r.</w:t>
      </w:r>
      <w:r>
        <w:rPr>
          <w:rFonts w:ascii="Times New Roman" w:hAnsi="Times New Roman"/>
          <w:b/>
          <w:color w:val="000000" w:themeColor="text1"/>
          <w:sz w:val="24"/>
        </w:rPr>
        <w:t xml:space="preserve"> przeprowadzono pomyślnie trzecią transakcję obejmującą jedną transzę obligacji na kwotę 8,5 mld EUR</w:t>
      </w:r>
      <w:r w:rsidR="00A467B6">
        <w:rPr>
          <w:rFonts w:ascii="Times New Roman" w:hAnsi="Times New Roman"/>
          <w:b/>
          <w:color w:val="000000" w:themeColor="text1"/>
          <w:sz w:val="24"/>
        </w:rPr>
        <w:t xml:space="preserve"> z ter</w:t>
      </w:r>
      <w:r>
        <w:rPr>
          <w:rFonts w:ascii="Times New Roman" w:hAnsi="Times New Roman"/>
          <w:b/>
          <w:color w:val="000000" w:themeColor="text1"/>
          <w:sz w:val="24"/>
        </w:rPr>
        <w:t>minem zapadalności</w:t>
      </w:r>
      <w:r w:rsidR="00A467B6">
        <w:rPr>
          <w:rFonts w:ascii="Times New Roman" w:hAnsi="Times New Roman"/>
          <w:b/>
          <w:color w:val="000000" w:themeColor="text1"/>
          <w:sz w:val="24"/>
        </w:rPr>
        <w:t xml:space="preserve"> w lip</w:t>
      </w:r>
      <w:r>
        <w:rPr>
          <w:rFonts w:ascii="Times New Roman" w:hAnsi="Times New Roman"/>
          <w:b/>
          <w:color w:val="000000" w:themeColor="text1"/>
          <w:sz w:val="24"/>
        </w:rPr>
        <w:t>cu 20</w:t>
      </w:r>
      <w:r w:rsidRPr="00A467B6">
        <w:rPr>
          <w:rFonts w:ascii="Times New Roman" w:hAnsi="Times New Roman"/>
          <w:b/>
          <w:color w:val="000000" w:themeColor="text1"/>
          <w:sz w:val="24"/>
        </w:rPr>
        <w:t>35</w:t>
      </w:r>
      <w:r w:rsidR="00A467B6" w:rsidRPr="00A467B6">
        <w:rPr>
          <w:rFonts w:ascii="Times New Roman" w:hAnsi="Times New Roman"/>
          <w:b/>
          <w:color w:val="000000" w:themeColor="text1"/>
          <w:sz w:val="24"/>
        </w:rPr>
        <w:t> </w:t>
      </w:r>
      <w:r w:rsidRPr="00A467B6">
        <w:rPr>
          <w:rFonts w:ascii="Times New Roman" w:hAnsi="Times New Roman"/>
          <w:b/>
          <w:color w:val="000000" w:themeColor="text1"/>
          <w:sz w:val="24"/>
        </w:rPr>
        <w:t>r.</w:t>
      </w:r>
      <w:r>
        <w:rPr>
          <w:rFonts w:ascii="Times New Roman" w:hAnsi="Times New Roman"/>
          <w:color w:val="000000" w:themeColor="text1"/>
          <w:sz w:val="24"/>
        </w:rPr>
        <w:t xml:space="preserve"> 15-letnie obligacje społeczne przyciągnęły największy</w:t>
      </w:r>
      <w:r w:rsidR="00A467B6">
        <w:rPr>
          <w:rFonts w:ascii="Times New Roman" w:hAnsi="Times New Roman"/>
          <w:color w:val="000000" w:themeColor="text1"/>
          <w:sz w:val="24"/>
        </w:rPr>
        <w:t xml:space="preserve"> w his</w:t>
      </w:r>
      <w:r>
        <w:rPr>
          <w:rFonts w:ascii="Times New Roman" w:hAnsi="Times New Roman"/>
          <w:color w:val="000000" w:themeColor="text1"/>
          <w:sz w:val="24"/>
        </w:rPr>
        <w:t>torii portfel zamówień dla każdej emisji referencyjnej pojedynczej transzy, stanowiąc największą jak dotychczas transakcję</w:t>
      </w:r>
      <w:r w:rsidR="00A467B6">
        <w:rPr>
          <w:rFonts w:ascii="Times New Roman" w:hAnsi="Times New Roman"/>
          <w:color w:val="000000" w:themeColor="text1"/>
          <w:sz w:val="24"/>
        </w:rPr>
        <w:t xml:space="preserve"> w kat</w:t>
      </w:r>
      <w:r>
        <w:rPr>
          <w:rFonts w:ascii="Times New Roman" w:hAnsi="Times New Roman"/>
          <w:color w:val="000000" w:themeColor="text1"/>
          <w:sz w:val="24"/>
        </w:rPr>
        <w:t>egorii 15-letnich papierów dłużnych emitentów narodowych, ponadnarodowych</w:t>
      </w:r>
      <w:r w:rsidR="00A467B6">
        <w:rPr>
          <w:rFonts w:ascii="Times New Roman" w:hAnsi="Times New Roman"/>
          <w:color w:val="000000" w:themeColor="text1"/>
          <w:sz w:val="24"/>
        </w:rPr>
        <w:t xml:space="preserve"> i age</w:t>
      </w:r>
      <w:r>
        <w:rPr>
          <w:rFonts w:ascii="Times New Roman" w:hAnsi="Times New Roman"/>
          <w:color w:val="000000" w:themeColor="text1"/>
          <w:sz w:val="24"/>
        </w:rPr>
        <w:t xml:space="preserve">ncji (SSA – </w:t>
      </w:r>
      <w:r>
        <w:rPr>
          <w:rFonts w:ascii="Times New Roman" w:hAnsi="Times New Roman"/>
          <w:i/>
          <w:iCs/>
          <w:color w:val="000000" w:themeColor="text1"/>
          <w:sz w:val="24"/>
        </w:rPr>
        <w:t>Sovereigns, Supranationals and Agencies</w:t>
      </w:r>
      <w:r>
        <w:rPr>
          <w:rFonts w:ascii="Times New Roman" w:hAnsi="Times New Roman"/>
          <w:color w:val="000000" w:themeColor="text1"/>
          <w:sz w:val="24"/>
        </w:rPr>
        <w:t>). Środki wypłacono Belgii, Węgrom, Portugalii, Rumunii</w:t>
      </w:r>
      <w:r w:rsidR="00A467B6">
        <w:rPr>
          <w:rFonts w:ascii="Times New Roman" w:hAnsi="Times New Roman"/>
          <w:color w:val="000000" w:themeColor="text1"/>
          <w:sz w:val="24"/>
        </w:rPr>
        <w:t xml:space="preserve"> i Sło</w:t>
      </w:r>
      <w:r>
        <w:rPr>
          <w:rFonts w:ascii="Times New Roman" w:hAnsi="Times New Roman"/>
          <w:color w:val="000000" w:themeColor="text1"/>
          <w:sz w:val="24"/>
        </w:rPr>
        <w:t>wacji</w:t>
      </w:r>
      <w:r w:rsidR="00A467B6">
        <w:rPr>
          <w:rFonts w:ascii="Times New Roman" w:hAnsi="Times New Roman"/>
          <w:color w:val="000000" w:themeColor="text1"/>
          <w:sz w:val="24"/>
        </w:rPr>
        <w:t xml:space="preserve"> w dni</w:t>
      </w:r>
      <w:r>
        <w:rPr>
          <w:rFonts w:ascii="Times New Roman" w:hAnsi="Times New Roman"/>
          <w:color w:val="000000" w:themeColor="text1"/>
          <w:sz w:val="24"/>
        </w:rPr>
        <w:t>u 1 grudnia 20</w:t>
      </w:r>
      <w:r w:rsidRPr="00A467B6">
        <w:rPr>
          <w:rFonts w:ascii="Times New Roman" w:hAnsi="Times New Roman"/>
          <w:color w:val="000000" w:themeColor="text1"/>
          <w:sz w:val="24"/>
        </w:rPr>
        <w:t>20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p>
    <w:p w14:paraId="26BD6500" w14:textId="256F11E2" w:rsidR="009D29AB" w:rsidRPr="009D29AB" w:rsidRDefault="009D29AB" w:rsidP="009D29AB">
      <w:pPr>
        <w:spacing w:before="120" w:after="120"/>
        <w:jc w:val="both"/>
        <w:rPr>
          <w:rFonts w:ascii="Times New Roman" w:hAnsi="Times New Roman" w:cs="Times New Roman"/>
          <w:color w:val="000000" w:themeColor="text1"/>
          <w:sz w:val="24"/>
        </w:rPr>
      </w:pPr>
      <w:r>
        <w:rPr>
          <w:rFonts w:ascii="Times New Roman" w:hAnsi="Times New Roman"/>
          <w:b/>
          <w:color w:val="000000" w:themeColor="text1"/>
          <w:sz w:val="24"/>
        </w:rPr>
        <w:t>W dniu 26 stycznia 20</w:t>
      </w:r>
      <w:r w:rsidRPr="00A467B6">
        <w:rPr>
          <w:rFonts w:ascii="Times New Roman" w:hAnsi="Times New Roman"/>
          <w:b/>
          <w:color w:val="000000" w:themeColor="text1"/>
          <w:sz w:val="24"/>
        </w:rPr>
        <w:t>21</w:t>
      </w:r>
      <w:r w:rsidR="00A467B6" w:rsidRPr="00A467B6">
        <w:rPr>
          <w:rFonts w:ascii="Times New Roman" w:hAnsi="Times New Roman"/>
          <w:b/>
          <w:color w:val="000000" w:themeColor="text1"/>
          <w:sz w:val="24"/>
        </w:rPr>
        <w:t> </w:t>
      </w:r>
      <w:r w:rsidRPr="00A467B6">
        <w:rPr>
          <w:rFonts w:ascii="Times New Roman" w:hAnsi="Times New Roman"/>
          <w:b/>
          <w:color w:val="000000" w:themeColor="text1"/>
          <w:sz w:val="24"/>
        </w:rPr>
        <w:t>r.</w:t>
      </w:r>
      <w:r>
        <w:rPr>
          <w:rFonts w:ascii="Times New Roman" w:hAnsi="Times New Roman"/>
          <w:b/>
          <w:color w:val="000000" w:themeColor="text1"/>
          <w:sz w:val="24"/>
        </w:rPr>
        <w:t xml:space="preserve"> przeprowadzono czwartą –</w:t>
      </w:r>
      <w:r w:rsidR="00A467B6">
        <w:rPr>
          <w:rFonts w:ascii="Times New Roman" w:hAnsi="Times New Roman"/>
          <w:b/>
          <w:color w:val="000000" w:themeColor="text1"/>
          <w:sz w:val="24"/>
        </w:rPr>
        <w:t xml:space="preserve"> i jed</w:t>
      </w:r>
      <w:r>
        <w:rPr>
          <w:rFonts w:ascii="Times New Roman" w:hAnsi="Times New Roman"/>
          <w:b/>
          <w:color w:val="000000" w:themeColor="text1"/>
          <w:sz w:val="24"/>
        </w:rPr>
        <w:t>nocześnie pierwszą</w:t>
      </w:r>
      <w:r w:rsidR="00A467B6">
        <w:rPr>
          <w:rFonts w:ascii="Times New Roman" w:hAnsi="Times New Roman"/>
          <w:b/>
          <w:color w:val="000000" w:themeColor="text1"/>
          <w:sz w:val="24"/>
        </w:rPr>
        <w:t xml:space="preserve"> w 2</w:t>
      </w:r>
      <w:r>
        <w:rPr>
          <w:rFonts w:ascii="Times New Roman" w:hAnsi="Times New Roman"/>
          <w:b/>
          <w:color w:val="000000" w:themeColor="text1"/>
          <w:sz w:val="24"/>
        </w:rPr>
        <w:t>0</w:t>
      </w:r>
      <w:r w:rsidRPr="00A467B6">
        <w:rPr>
          <w:rFonts w:ascii="Times New Roman" w:hAnsi="Times New Roman"/>
          <w:b/>
          <w:color w:val="000000" w:themeColor="text1"/>
          <w:sz w:val="24"/>
        </w:rPr>
        <w:t>21</w:t>
      </w:r>
      <w:r w:rsidR="00A467B6" w:rsidRPr="00A467B6">
        <w:rPr>
          <w:rFonts w:ascii="Times New Roman" w:hAnsi="Times New Roman"/>
          <w:b/>
          <w:color w:val="000000" w:themeColor="text1"/>
          <w:sz w:val="24"/>
        </w:rPr>
        <w:t> </w:t>
      </w:r>
      <w:r w:rsidRPr="00A467B6">
        <w:rPr>
          <w:rFonts w:ascii="Times New Roman" w:hAnsi="Times New Roman"/>
          <w:b/>
          <w:color w:val="000000" w:themeColor="text1"/>
          <w:sz w:val="24"/>
        </w:rPr>
        <w:t>r.</w:t>
      </w:r>
      <w:r>
        <w:rPr>
          <w:rFonts w:ascii="Times New Roman" w:hAnsi="Times New Roman"/>
          <w:b/>
          <w:color w:val="000000" w:themeColor="text1"/>
          <w:sz w:val="24"/>
        </w:rPr>
        <w:t xml:space="preserve"> – transakcję obejmującą dwie transze</w:t>
      </w:r>
      <w:r>
        <w:rPr>
          <w:rFonts w:ascii="Times New Roman" w:hAnsi="Times New Roman"/>
          <w:color w:val="000000" w:themeColor="text1"/>
          <w:sz w:val="24"/>
        </w:rPr>
        <w:t>. Obligacje społeczne</w:t>
      </w:r>
      <w:r w:rsidR="00A467B6">
        <w:rPr>
          <w:rFonts w:ascii="Times New Roman" w:hAnsi="Times New Roman"/>
          <w:color w:val="000000" w:themeColor="text1"/>
          <w:sz w:val="24"/>
        </w:rPr>
        <w:t xml:space="preserve"> o war</w:t>
      </w:r>
      <w:r>
        <w:rPr>
          <w:rFonts w:ascii="Times New Roman" w:hAnsi="Times New Roman"/>
          <w:color w:val="000000" w:themeColor="text1"/>
          <w:sz w:val="24"/>
        </w:rPr>
        <w:t>tości 14 mld EUR podzielono na obligacje na kwotę 10 mld EUR</w:t>
      </w:r>
      <w:r w:rsidR="00A467B6">
        <w:rPr>
          <w:rFonts w:ascii="Times New Roman" w:hAnsi="Times New Roman"/>
          <w:color w:val="000000" w:themeColor="text1"/>
          <w:sz w:val="24"/>
        </w:rPr>
        <w:t xml:space="preserve"> z ter</w:t>
      </w:r>
      <w:r>
        <w:rPr>
          <w:rFonts w:ascii="Times New Roman" w:hAnsi="Times New Roman"/>
          <w:color w:val="000000" w:themeColor="text1"/>
          <w:sz w:val="24"/>
        </w:rPr>
        <w:t>minem zapadalności</w:t>
      </w:r>
      <w:r w:rsidR="00A467B6">
        <w:rPr>
          <w:rFonts w:ascii="Times New Roman" w:hAnsi="Times New Roman"/>
          <w:color w:val="000000" w:themeColor="text1"/>
          <w:sz w:val="24"/>
        </w:rPr>
        <w:t xml:space="preserve"> w cze</w:t>
      </w:r>
      <w:r>
        <w:rPr>
          <w:rFonts w:ascii="Times New Roman" w:hAnsi="Times New Roman"/>
          <w:color w:val="000000" w:themeColor="text1"/>
          <w:sz w:val="24"/>
        </w:rPr>
        <w:t>rwcu 20</w:t>
      </w:r>
      <w:r w:rsidRPr="00A467B6">
        <w:rPr>
          <w:rFonts w:ascii="Times New Roman" w:hAnsi="Times New Roman"/>
          <w:color w:val="000000" w:themeColor="text1"/>
          <w:sz w:val="24"/>
        </w:rPr>
        <w:t>28</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sidR="00A467B6">
        <w:rPr>
          <w:rFonts w:ascii="Times New Roman" w:hAnsi="Times New Roman"/>
          <w:color w:val="000000" w:themeColor="text1"/>
          <w:sz w:val="24"/>
        </w:rPr>
        <w:t xml:space="preserve"> i dod</w:t>
      </w:r>
      <w:r>
        <w:rPr>
          <w:rFonts w:ascii="Times New Roman" w:hAnsi="Times New Roman"/>
          <w:color w:val="000000" w:themeColor="text1"/>
          <w:sz w:val="24"/>
        </w:rPr>
        <w:t>atkową emisję (tzw. tap) obligacji na kwotę 4 mld EUR uzupełniającą wcześniej wyemitowane obligacje</w:t>
      </w:r>
      <w:r w:rsidR="00A467B6">
        <w:rPr>
          <w:rFonts w:ascii="Times New Roman" w:hAnsi="Times New Roman"/>
          <w:color w:val="000000" w:themeColor="text1"/>
          <w:sz w:val="24"/>
        </w:rPr>
        <w:t xml:space="preserve"> z ter</w:t>
      </w:r>
      <w:r>
        <w:rPr>
          <w:rFonts w:ascii="Times New Roman" w:hAnsi="Times New Roman"/>
          <w:color w:val="000000" w:themeColor="text1"/>
          <w:sz w:val="24"/>
        </w:rPr>
        <w:t>minem zapadalności</w:t>
      </w:r>
      <w:r w:rsidR="00A467B6">
        <w:rPr>
          <w:rFonts w:ascii="Times New Roman" w:hAnsi="Times New Roman"/>
          <w:color w:val="000000" w:themeColor="text1"/>
          <w:sz w:val="24"/>
        </w:rPr>
        <w:t xml:space="preserve"> w lis</w:t>
      </w:r>
      <w:r>
        <w:rPr>
          <w:rFonts w:ascii="Times New Roman" w:hAnsi="Times New Roman"/>
          <w:color w:val="000000" w:themeColor="text1"/>
          <w:sz w:val="24"/>
        </w:rPr>
        <w:t>topadzie 20</w:t>
      </w:r>
      <w:r w:rsidRPr="00A467B6">
        <w:rPr>
          <w:rFonts w:ascii="Times New Roman" w:hAnsi="Times New Roman"/>
          <w:color w:val="000000" w:themeColor="text1"/>
          <w:sz w:val="24"/>
        </w:rPr>
        <w:t>50</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Oferta zakończyła się odpowiednio ponad 8-</w:t>
      </w:r>
      <w:r w:rsidR="00A467B6">
        <w:rPr>
          <w:rFonts w:ascii="Times New Roman" w:hAnsi="Times New Roman"/>
          <w:color w:val="000000" w:themeColor="text1"/>
          <w:sz w:val="24"/>
        </w:rPr>
        <w:t xml:space="preserve"> i 1</w:t>
      </w:r>
      <w:r>
        <w:rPr>
          <w:rFonts w:ascii="Times New Roman" w:hAnsi="Times New Roman"/>
          <w:color w:val="000000" w:themeColor="text1"/>
          <w:sz w:val="24"/>
        </w:rPr>
        <w:t>2-krotną nadsubskrypcją, przy czym 7-letnie obligacje wyceniono przy ujemnej stopie zwrotu wynoszącej -0,49</w:t>
      </w:r>
      <w:r w:rsidRPr="00A467B6">
        <w:rPr>
          <w:rFonts w:ascii="Times New Roman" w:hAnsi="Times New Roman"/>
          <w:color w:val="000000" w:themeColor="text1"/>
          <w:sz w:val="24"/>
        </w:rPr>
        <w:t>7</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w:t>
      </w:r>
      <w:r w:rsidR="00A467B6">
        <w:rPr>
          <w:rFonts w:ascii="Times New Roman" w:hAnsi="Times New Roman"/>
          <w:color w:val="000000" w:themeColor="text1"/>
          <w:sz w:val="24"/>
        </w:rPr>
        <w:t xml:space="preserve"> a 3</w:t>
      </w:r>
      <w:r>
        <w:rPr>
          <w:rFonts w:ascii="Times New Roman" w:hAnsi="Times New Roman"/>
          <w:color w:val="000000" w:themeColor="text1"/>
          <w:sz w:val="24"/>
        </w:rPr>
        <w:t>0-letnie obligacje – przy stopie zwrotu wynoszącej 0,13</w:t>
      </w:r>
      <w:r w:rsidRPr="00A467B6">
        <w:rPr>
          <w:rFonts w:ascii="Times New Roman" w:hAnsi="Times New Roman"/>
          <w:color w:val="000000" w:themeColor="text1"/>
          <w:sz w:val="24"/>
        </w:rPr>
        <w:t>4</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w:t>
      </w:r>
      <w:r>
        <w:rPr>
          <w:rFonts w:ascii="Times New Roman" w:hAnsi="Times New Roman"/>
          <w:color w:val="000000" w:themeColor="text1"/>
          <w:sz w:val="24"/>
        </w:rPr>
        <w:t>, co stanowi pozytywny wynik dla tego terminu zapadalności</w:t>
      </w:r>
      <w:r w:rsidR="00A467B6">
        <w:rPr>
          <w:rFonts w:ascii="Times New Roman" w:hAnsi="Times New Roman"/>
          <w:color w:val="000000" w:themeColor="text1"/>
          <w:sz w:val="24"/>
        </w:rPr>
        <w:t>. W dni</w:t>
      </w:r>
      <w:r>
        <w:rPr>
          <w:rFonts w:ascii="Times New Roman" w:hAnsi="Times New Roman"/>
          <w:color w:val="000000" w:themeColor="text1"/>
          <w:sz w:val="24"/>
        </w:rPr>
        <w:t>u 2 lutego 20</w:t>
      </w:r>
      <w:r w:rsidRPr="00A467B6">
        <w:rPr>
          <w:rFonts w:ascii="Times New Roman" w:hAnsi="Times New Roman"/>
          <w:color w:val="000000" w:themeColor="text1"/>
          <w:sz w:val="24"/>
        </w:rPr>
        <w:t>21</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środki wypłacono Belgii, Cyprowi, Węgrom, Łotwie, Polsce, Słowenii, Hiszpanii, Grecji</w:t>
      </w:r>
      <w:r w:rsidR="00A467B6">
        <w:rPr>
          <w:rFonts w:ascii="Times New Roman" w:hAnsi="Times New Roman"/>
          <w:color w:val="000000" w:themeColor="text1"/>
          <w:sz w:val="24"/>
        </w:rPr>
        <w:t xml:space="preserve"> i Wło</w:t>
      </w:r>
      <w:r>
        <w:rPr>
          <w:rFonts w:ascii="Times New Roman" w:hAnsi="Times New Roman"/>
          <w:color w:val="000000" w:themeColor="text1"/>
          <w:sz w:val="24"/>
        </w:rPr>
        <w:t xml:space="preserve">chom. </w:t>
      </w:r>
    </w:p>
    <w:p w14:paraId="4AD87735" w14:textId="30762E1E" w:rsidR="009D29AB" w:rsidRPr="009D29AB" w:rsidRDefault="009D29AB" w:rsidP="009D29AB">
      <w:pPr>
        <w:spacing w:before="120" w:after="0"/>
        <w:jc w:val="both"/>
        <w:rPr>
          <w:rFonts w:ascii="Times New Roman" w:hAnsi="Times New Roman" w:cs="Times New Roman"/>
          <w:color w:val="000000" w:themeColor="text1"/>
          <w:sz w:val="24"/>
        </w:rPr>
      </w:pPr>
      <w:r>
        <w:rPr>
          <w:rFonts w:ascii="Times New Roman" w:hAnsi="Times New Roman"/>
          <w:b/>
          <w:color w:val="000000" w:themeColor="text1"/>
          <w:sz w:val="24"/>
        </w:rPr>
        <w:t>W tabeli 4 przedstawiono dane dotyczące harmonogramu spłat.</w:t>
      </w:r>
      <w:r>
        <w:rPr>
          <w:rFonts w:ascii="Times New Roman" w:hAnsi="Times New Roman"/>
          <w:color w:val="000000" w:themeColor="text1"/>
          <w:sz w:val="24"/>
        </w:rPr>
        <w:t xml:space="preserve"> Termin spłaty kwoty głównej pożyczek upływa</w:t>
      </w:r>
      <w:r w:rsidR="00A467B6">
        <w:rPr>
          <w:rFonts w:ascii="Times New Roman" w:hAnsi="Times New Roman"/>
          <w:color w:val="000000" w:themeColor="text1"/>
          <w:sz w:val="24"/>
        </w:rPr>
        <w:t xml:space="preserve"> w lat</w:t>
      </w:r>
      <w:r>
        <w:rPr>
          <w:rFonts w:ascii="Times New Roman" w:hAnsi="Times New Roman"/>
          <w:color w:val="000000" w:themeColor="text1"/>
          <w:sz w:val="24"/>
        </w:rPr>
        <w:t xml:space="preserve">ach 2025–2050. Odsetki są należne corocznie. </w:t>
      </w:r>
    </w:p>
    <w:p w14:paraId="6D620DA9" w14:textId="77777777" w:rsidR="009D29AB" w:rsidRPr="000C43EC" w:rsidRDefault="009D29AB" w:rsidP="009D29AB">
      <w:pPr>
        <w:spacing w:after="0"/>
        <w:jc w:val="both"/>
        <w:rPr>
          <w:rFonts w:ascii="Times New Roman" w:hAnsi="Times New Roman" w:cs="Times New Roman"/>
          <w:color w:val="000000" w:themeColor="text1"/>
          <w:sz w:val="18"/>
        </w:rPr>
      </w:pPr>
    </w:p>
    <w:p w14:paraId="65B2EB54" w14:textId="77777777" w:rsidR="009D29AB" w:rsidRPr="000C43EC" w:rsidRDefault="009D29AB" w:rsidP="009D29AB">
      <w:pPr>
        <w:spacing w:after="0"/>
        <w:rPr>
          <w:rFonts w:ascii="Times New Roman" w:hAnsi="Times New Roman" w:cs="Times New Roman"/>
          <w:b/>
          <w:color w:val="000000" w:themeColor="text1"/>
          <w:sz w:val="24"/>
        </w:rPr>
      </w:pPr>
    </w:p>
    <w:p w14:paraId="1BFAD4C1" w14:textId="77777777" w:rsidR="009D29AB" w:rsidRPr="000C43EC" w:rsidRDefault="009D29AB" w:rsidP="009D29AB">
      <w:pPr>
        <w:spacing w:after="0"/>
        <w:rPr>
          <w:rFonts w:ascii="Times New Roman" w:hAnsi="Times New Roman" w:cs="Times New Roman"/>
          <w:b/>
          <w:color w:val="000000" w:themeColor="text1"/>
          <w:sz w:val="24"/>
        </w:rPr>
      </w:pPr>
    </w:p>
    <w:p w14:paraId="00C09E6C" w14:textId="434BD816" w:rsidR="009D29AB" w:rsidRPr="009D29AB" w:rsidRDefault="009D29AB" w:rsidP="009D29AB">
      <w:pPr>
        <w:spacing w:after="0"/>
        <w:rPr>
          <w:rFonts w:ascii="Times New Roman" w:hAnsi="Times New Roman" w:cs="Times New Roman"/>
          <w:b/>
          <w:color w:val="000000" w:themeColor="text1"/>
          <w:sz w:val="24"/>
        </w:rPr>
      </w:pPr>
      <w:r>
        <w:rPr>
          <w:rFonts w:ascii="Times New Roman" w:hAnsi="Times New Roman"/>
          <w:b/>
          <w:color w:val="000000" w:themeColor="text1"/>
          <w:sz w:val="24"/>
        </w:rPr>
        <w:t>Tabela 4:</w:t>
      </w:r>
      <w:r>
        <w:rPr>
          <w:rFonts w:ascii="Times New Roman" w:hAnsi="Times New Roman"/>
          <w:color w:val="000000" w:themeColor="text1"/>
          <w:sz w:val="24"/>
        </w:rPr>
        <w:t xml:space="preserve"> </w:t>
      </w:r>
      <w:r>
        <w:rPr>
          <w:rFonts w:ascii="Times New Roman" w:hAnsi="Times New Roman"/>
          <w:b/>
          <w:color w:val="000000" w:themeColor="text1"/>
          <w:sz w:val="24"/>
        </w:rPr>
        <w:t>Harmonogram spłat należnych unijnych pożyczek</w:t>
      </w:r>
      <w:r w:rsidR="00A467B6">
        <w:rPr>
          <w:rFonts w:ascii="Times New Roman" w:hAnsi="Times New Roman"/>
          <w:b/>
          <w:color w:val="000000" w:themeColor="text1"/>
          <w:sz w:val="24"/>
        </w:rPr>
        <w:t xml:space="preserve"> w ram</w:t>
      </w:r>
      <w:r>
        <w:rPr>
          <w:rFonts w:ascii="Times New Roman" w:hAnsi="Times New Roman"/>
          <w:b/>
          <w:color w:val="000000" w:themeColor="text1"/>
          <w:sz w:val="24"/>
        </w:rPr>
        <w:t>ach SURE</w:t>
      </w:r>
    </w:p>
    <w:tbl>
      <w:tblPr>
        <w:tblStyle w:val="TableGrid"/>
        <w:tblW w:w="7229" w:type="dxa"/>
        <w:tblInd w:w="675" w:type="dxa"/>
        <w:tblLayout w:type="fixed"/>
        <w:tblLook w:val="04A0" w:firstRow="1" w:lastRow="0" w:firstColumn="1" w:lastColumn="0" w:noHBand="0" w:noVBand="1"/>
      </w:tblPr>
      <w:tblGrid>
        <w:gridCol w:w="1538"/>
        <w:gridCol w:w="1956"/>
        <w:gridCol w:w="1941"/>
        <w:gridCol w:w="1794"/>
      </w:tblGrid>
      <w:tr w:rsidR="009D29AB" w:rsidRPr="009D29AB" w14:paraId="6246D649" w14:textId="77777777" w:rsidTr="00D61F7B">
        <w:trPr>
          <w:trHeight w:val="148"/>
        </w:trPr>
        <w:tc>
          <w:tcPr>
            <w:tcW w:w="1538" w:type="dxa"/>
            <w:vAlign w:val="center"/>
            <w:hideMark/>
          </w:tcPr>
          <w:p w14:paraId="788A5273"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Rok kalendarzowy</w:t>
            </w:r>
          </w:p>
        </w:tc>
        <w:tc>
          <w:tcPr>
            <w:tcW w:w="1956" w:type="dxa"/>
            <w:noWrap/>
            <w:vAlign w:val="center"/>
            <w:hideMark/>
          </w:tcPr>
          <w:p w14:paraId="6D89EEFA"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color w:val="000000" w:themeColor="text1"/>
                <w:sz w:val="20"/>
              </w:rPr>
              <w:t>Kwota główna</w:t>
            </w:r>
          </w:p>
        </w:tc>
        <w:tc>
          <w:tcPr>
            <w:tcW w:w="1941" w:type="dxa"/>
            <w:vAlign w:val="center"/>
          </w:tcPr>
          <w:p w14:paraId="5FA1D319"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Odsetki</w:t>
            </w:r>
          </w:p>
        </w:tc>
        <w:tc>
          <w:tcPr>
            <w:tcW w:w="1794" w:type="dxa"/>
            <w:noWrap/>
            <w:vAlign w:val="center"/>
            <w:hideMark/>
          </w:tcPr>
          <w:p w14:paraId="5E2C3DAC"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SURE ogółem</w:t>
            </w:r>
          </w:p>
        </w:tc>
      </w:tr>
      <w:tr w:rsidR="009D29AB" w:rsidRPr="009D29AB" w14:paraId="2B4281A9" w14:textId="77777777" w:rsidTr="00D61F7B">
        <w:trPr>
          <w:trHeight w:val="130"/>
        </w:trPr>
        <w:tc>
          <w:tcPr>
            <w:tcW w:w="1538" w:type="dxa"/>
            <w:noWrap/>
            <w:vAlign w:val="center"/>
            <w:hideMark/>
          </w:tcPr>
          <w:p w14:paraId="52979073"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2021</w:t>
            </w:r>
          </w:p>
        </w:tc>
        <w:tc>
          <w:tcPr>
            <w:tcW w:w="1956" w:type="dxa"/>
            <w:noWrap/>
            <w:vAlign w:val="center"/>
            <w:hideMark/>
          </w:tcPr>
          <w:p w14:paraId="1B8D752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CD3354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32 960 000 </w:t>
            </w:r>
          </w:p>
        </w:tc>
        <w:tc>
          <w:tcPr>
            <w:tcW w:w="1794" w:type="dxa"/>
            <w:noWrap/>
            <w:vAlign w:val="center"/>
            <w:hideMark/>
          </w:tcPr>
          <w:p w14:paraId="6DB09B4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32 960 000</w:t>
            </w:r>
          </w:p>
        </w:tc>
      </w:tr>
      <w:tr w:rsidR="009D29AB" w:rsidRPr="009D29AB" w14:paraId="3F64842F" w14:textId="77777777" w:rsidTr="00D61F7B">
        <w:trPr>
          <w:trHeight w:val="130"/>
        </w:trPr>
        <w:tc>
          <w:tcPr>
            <w:tcW w:w="1538" w:type="dxa"/>
            <w:noWrap/>
            <w:vAlign w:val="center"/>
            <w:hideMark/>
          </w:tcPr>
          <w:p w14:paraId="3174FC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2022</w:t>
            </w:r>
          </w:p>
        </w:tc>
        <w:tc>
          <w:tcPr>
            <w:tcW w:w="1956" w:type="dxa"/>
            <w:noWrap/>
            <w:vAlign w:val="center"/>
            <w:hideMark/>
          </w:tcPr>
          <w:p w14:paraId="6FFA09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6561E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0DE68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1968ABF" w14:textId="77777777" w:rsidTr="00D61F7B">
        <w:trPr>
          <w:trHeight w:val="130"/>
        </w:trPr>
        <w:tc>
          <w:tcPr>
            <w:tcW w:w="1538" w:type="dxa"/>
            <w:noWrap/>
            <w:vAlign w:val="center"/>
            <w:hideMark/>
          </w:tcPr>
          <w:p w14:paraId="0E2FC60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2023</w:t>
            </w:r>
          </w:p>
        </w:tc>
        <w:tc>
          <w:tcPr>
            <w:tcW w:w="1956" w:type="dxa"/>
            <w:noWrap/>
            <w:vAlign w:val="center"/>
            <w:hideMark/>
          </w:tcPr>
          <w:p w14:paraId="59CCFB4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7D062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052551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CB30E10" w14:textId="77777777" w:rsidTr="00D61F7B">
        <w:trPr>
          <w:trHeight w:val="130"/>
        </w:trPr>
        <w:tc>
          <w:tcPr>
            <w:tcW w:w="1538" w:type="dxa"/>
            <w:noWrap/>
            <w:vAlign w:val="center"/>
            <w:hideMark/>
          </w:tcPr>
          <w:p w14:paraId="3755C13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2024</w:t>
            </w:r>
          </w:p>
        </w:tc>
        <w:tc>
          <w:tcPr>
            <w:tcW w:w="1956" w:type="dxa"/>
            <w:noWrap/>
            <w:vAlign w:val="center"/>
            <w:hideMark/>
          </w:tcPr>
          <w:p w14:paraId="6FE23E8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586DD2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31DED58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20DDE36" w14:textId="77777777" w:rsidTr="00D61F7B">
        <w:trPr>
          <w:trHeight w:val="130"/>
        </w:trPr>
        <w:tc>
          <w:tcPr>
            <w:tcW w:w="1538" w:type="dxa"/>
            <w:noWrap/>
            <w:vAlign w:val="center"/>
            <w:hideMark/>
          </w:tcPr>
          <w:p w14:paraId="0C2F4A1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2025</w:t>
            </w:r>
          </w:p>
        </w:tc>
        <w:tc>
          <w:tcPr>
            <w:tcW w:w="1956" w:type="dxa"/>
            <w:noWrap/>
            <w:vAlign w:val="center"/>
            <w:hideMark/>
          </w:tcPr>
          <w:p w14:paraId="0D3B0D4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8 000 000 000</w:t>
            </w:r>
          </w:p>
        </w:tc>
        <w:tc>
          <w:tcPr>
            <w:tcW w:w="1941" w:type="dxa"/>
            <w:noWrap/>
            <w:vAlign w:val="center"/>
            <w:hideMark/>
          </w:tcPr>
          <w:p w14:paraId="2D7864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EC120A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8 037 000 000</w:t>
            </w:r>
          </w:p>
        </w:tc>
      </w:tr>
      <w:tr w:rsidR="009D29AB" w:rsidRPr="009D29AB" w14:paraId="4AEB2560" w14:textId="77777777" w:rsidTr="00D61F7B">
        <w:trPr>
          <w:trHeight w:val="130"/>
        </w:trPr>
        <w:tc>
          <w:tcPr>
            <w:tcW w:w="1538" w:type="dxa"/>
            <w:noWrap/>
            <w:vAlign w:val="center"/>
            <w:hideMark/>
          </w:tcPr>
          <w:p w14:paraId="7912A51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2026</w:t>
            </w:r>
          </w:p>
        </w:tc>
        <w:tc>
          <w:tcPr>
            <w:tcW w:w="1956" w:type="dxa"/>
            <w:noWrap/>
            <w:vAlign w:val="center"/>
            <w:hideMark/>
          </w:tcPr>
          <w:p w14:paraId="5B545DA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9920D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38D9D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B2A1F53" w14:textId="77777777" w:rsidTr="00D61F7B">
        <w:trPr>
          <w:trHeight w:val="130"/>
        </w:trPr>
        <w:tc>
          <w:tcPr>
            <w:tcW w:w="1538" w:type="dxa"/>
            <w:noWrap/>
            <w:vAlign w:val="center"/>
            <w:hideMark/>
          </w:tcPr>
          <w:p w14:paraId="3A05A94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2027</w:t>
            </w:r>
          </w:p>
        </w:tc>
        <w:tc>
          <w:tcPr>
            <w:tcW w:w="1956" w:type="dxa"/>
            <w:noWrap/>
            <w:vAlign w:val="center"/>
            <w:hideMark/>
          </w:tcPr>
          <w:p w14:paraId="063C7EC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59D8A5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73F1C3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20C9FF30" w14:textId="77777777" w:rsidTr="00D61F7B">
        <w:trPr>
          <w:trHeight w:val="130"/>
        </w:trPr>
        <w:tc>
          <w:tcPr>
            <w:tcW w:w="1538" w:type="dxa"/>
            <w:noWrap/>
            <w:vAlign w:val="center"/>
            <w:hideMark/>
          </w:tcPr>
          <w:p w14:paraId="1A00BF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2028</w:t>
            </w:r>
          </w:p>
        </w:tc>
        <w:tc>
          <w:tcPr>
            <w:tcW w:w="1956" w:type="dxa"/>
            <w:noWrap/>
            <w:vAlign w:val="center"/>
            <w:hideMark/>
          </w:tcPr>
          <w:p w14:paraId="29D0661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3AE8EBD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4ABE05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69DF90F8" w14:textId="77777777" w:rsidTr="00D61F7B">
        <w:trPr>
          <w:trHeight w:val="130"/>
        </w:trPr>
        <w:tc>
          <w:tcPr>
            <w:tcW w:w="1538" w:type="dxa"/>
            <w:noWrap/>
            <w:vAlign w:val="center"/>
            <w:hideMark/>
          </w:tcPr>
          <w:p w14:paraId="004F93E8"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2029</w:t>
            </w:r>
          </w:p>
        </w:tc>
        <w:tc>
          <w:tcPr>
            <w:tcW w:w="1956" w:type="dxa"/>
            <w:noWrap/>
            <w:vAlign w:val="center"/>
            <w:hideMark/>
          </w:tcPr>
          <w:p w14:paraId="07E9D8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136341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779E1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274E41A" w14:textId="77777777" w:rsidTr="00D61F7B">
        <w:trPr>
          <w:trHeight w:val="130"/>
        </w:trPr>
        <w:tc>
          <w:tcPr>
            <w:tcW w:w="1538" w:type="dxa"/>
            <w:noWrap/>
            <w:vAlign w:val="center"/>
            <w:hideMark/>
          </w:tcPr>
          <w:p w14:paraId="40C96B6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2030</w:t>
            </w:r>
          </w:p>
        </w:tc>
        <w:tc>
          <w:tcPr>
            <w:tcW w:w="1956" w:type="dxa"/>
            <w:noWrap/>
            <w:vAlign w:val="center"/>
            <w:hideMark/>
          </w:tcPr>
          <w:p w14:paraId="0A2AF0F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2C6C033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C303C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10 037 000 000</w:t>
            </w:r>
          </w:p>
        </w:tc>
      </w:tr>
      <w:tr w:rsidR="009D29AB" w:rsidRPr="009D29AB" w14:paraId="55A09DEE" w14:textId="77777777" w:rsidTr="00D61F7B">
        <w:trPr>
          <w:trHeight w:val="130"/>
        </w:trPr>
        <w:tc>
          <w:tcPr>
            <w:tcW w:w="1538" w:type="dxa"/>
            <w:noWrap/>
            <w:vAlign w:val="center"/>
            <w:hideMark/>
          </w:tcPr>
          <w:p w14:paraId="195F881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2031</w:t>
            </w:r>
          </w:p>
        </w:tc>
        <w:tc>
          <w:tcPr>
            <w:tcW w:w="1956" w:type="dxa"/>
            <w:noWrap/>
            <w:vAlign w:val="center"/>
            <w:hideMark/>
          </w:tcPr>
          <w:p w14:paraId="00F5DC7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31774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5DC75D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41C16FB" w14:textId="77777777" w:rsidTr="00D61F7B">
        <w:trPr>
          <w:trHeight w:val="130"/>
        </w:trPr>
        <w:tc>
          <w:tcPr>
            <w:tcW w:w="1538" w:type="dxa"/>
            <w:noWrap/>
            <w:vAlign w:val="center"/>
            <w:hideMark/>
          </w:tcPr>
          <w:p w14:paraId="0DD7867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2032</w:t>
            </w:r>
          </w:p>
        </w:tc>
        <w:tc>
          <w:tcPr>
            <w:tcW w:w="1956" w:type="dxa"/>
            <w:noWrap/>
            <w:vAlign w:val="center"/>
            <w:hideMark/>
          </w:tcPr>
          <w:p w14:paraId="204F006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1CFB34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81DA3A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E315C02" w14:textId="77777777" w:rsidTr="00D61F7B">
        <w:trPr>
          <w:trHeight w:val="130"/>
        </w:trPr>
        <w:tc>
          <w:tcPr>
            <w:tcW w:w="1538" w:type="dxa"/>
            <w:noWrap/>
            <w:vAlign w:val="center"/>
            <w:hideMark/>
          </w:tcPr>
          <w:p w14:paraId="54AA88C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2033</w:t>
            </w:r>
          </w:p>
        </w:tc>
        <w:tc>
          <w:tcPr>
            <w:tcW w:w="1956" w:type="dxa"/>
            <w:noWrap/>
            <w:vAlign w:val="center"/>
            <w:hideMark/>
          </w:tcPr>
          <w:p w14:paraId="2D4F16B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270FB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B92EA3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5741E61D" w14:textId="77777777" w:rsidTr="00D61F7B">
        <w:trPr>
          <w:trHeight w:val="130"/>
        </w:trPr>
        <w:tc>
          <w:tcPr>
            <w:tcW w:w="1538" w:type="dxa"/>
            <w:noWrap/>
            <w:vAlign w:val="center"/>
            <w:hideMark/>
          </w:tcPr>
          <w:p w14:paraId="26A3B2D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2034</w:t>
            </w:r>
          </w:p>
        </w:tc>
        <w:tc>
          <w:tcPr>
            <w:tcW w:w="1956" w:type="dxa"/>
            <w:noWrap/>
            <w:vAlign w:val="center"/>
            <w:hideMark/>
          </w:tcPr>
          <w:p w14:paraId="71117E9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732F49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8DE67D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0C0B3E62" w14:textId="77777777" w:rsidTr="00D61F7B">
        <w:trPr>
          <w:trHeight w:val="130"/>
        </w:trPr>
        <w:tc>
          <w:tcPr>
            <w:tcW w:w="1538" w:type="dxa"/>
            <w:noWrap/>
            <w:vAlign w:val="center"/>
            <w:hideMark/>
          </w:tcPr>
          <w:p w14:paraId="1625C5EC"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2035</w:t>
            </w:r>
          </w:p>
        </w:tc>
        <w:tc>
          <w:tcPr>
            <w:tcW w:w="1956" w:type="dxa"/>
            <w:noWrap/>
            <w:vAlign w:val="center"/>
            <w:hideMark/>
          </w:tcPr>
          <w:p w14:paraId="4226AAF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8 500 000 000</w:t>
            </w:r>
          </w:p>
        </w:tc>
        <w:tc>
          <w:tcPr>
            <w:tcW w:w="1941" w:type="dxa"/>
            <w:noWrap/>
            <w:vAlign w:val="center"/>
            <w:hideMark/>
          </w:tcPr>
          <w:p w14:paraId="607A142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6642C7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8 537 000 000</w:t>
            </w:r>
          </w:p>
        </w:tc>
      </w:tr>
      <w:tr w:rsidR="009D29AB" w:rsidRPr="009D29AB" w14:paraId="326F5EBB" w14:textId="77777777" w:rsidTr="00D61F7B">
        <w:trPr>
          <w:trHeight w:val="130"/>
        </w:trPr>
        <w:tc>
          <w:tcPr>
            <w:tcW w:w="1538" w:type="dxa"/>
            <w:noWrap/>
            <w:vAlign w:val="center"/>
            <w:hideMark/>
          </w:tcPr>
          <w:p w14:paraId="2664E4F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2036</w:t>
            </w:r>
          </w:p>
        </w:tc>
        <w:tc>
          <w:tcPr>
            <w:tcW w:w="1956" w:type="dxa"/>
            <w:noWrap/>
            <w:vAlign w:val="center"/>
            <w:hideMark/>
          </w:tcPr>
          <w:p w14:paraId="07B05D0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3EE919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42542DD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6FAC8F2" w14:textId="77777777" w:rsidTr="00D61F7B">
        <w:trPr>
          <w:trHeight w:val="130"/>
        </w:trPr>
        <w:tc>
          <w:tcPr>
            <w:tcW w:w="1538" w:type="dxa"/>
            <w:noWrap/>
            <w:vAlign w:val="center"/>
            <w:hideMark/>
          </w:tcPr>
          <w:p w14:paraId="75920CAA"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2037</w:t>
            </w:r>
          </w:p>
        </w:tc>
        <w:tc>
          <w:tcPr>
            <w:tcW w:w="1956" w:type="dxa"/>
            <w:noWrap/>
            <w:vAlign w:val="center"/>
            <w:hideMark/>
          </w:tcPr>
          <w:p w14:paraId="7EFCC2B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1C6516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702E9A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754DFAD4" w14:textId="77777777" w:rsidTr="00D61F7B">
        <w:trPr>
          <w:trHeight w:val="130"/>
        </w:trPr>
        <w:tc>
          <w:tcPr>
            <w:tcW w:w="1538" w:type="dxa"/>
            <w:noWrap/>
            <w:vAlign w:val="center"/>
            <w:hideMark/>
          </w:tcPr>
          <w:p w14:paraId="1DFBCB26"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2038</w:t>
            </w:r>
          </w:p>
        </w:tc>
        <w:tc>
          <w:tcPr>
            <w:tcW w:w="1956" w:type="dxa"/>
            <w:noWrap/>
            <w:vAlign w:val="center"/>
            <w:hideMark/>
          </w:tcPr>
          <w:p w14:paraId="5FAD457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54F168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16206EF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34ED9E8D" w14:textId="77777777" w:rsidTr="00D61F7B">
        <w:trPr>
          <w:trHeight w:val="130"/>
        </w:trPr>
        <w:tc>
          <w:tcPr>
            <w:tcW w:w="1538" w:type="dxa"/>
            <w:noWrap/>
            <w:vAlign w:val="center"/>
            <w:hideMark/>
          </w:tcPr>
          <w:p w14:paraId="4B9C95F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2039</w:t>
            </w:r>
          </w:p>
        </w:tc>
        <w:tc>
          <w:tcPr>
            <w:tcW w:w="1956" w:type="dxa"/>
            <w:noWrap/>
            <w:vAlign w:val="center"/>
            <w:hideMark/>
          </w:tcPr>
          <w:p w14:paraId="5131335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78C5771"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0E037008"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r>
      <w:tr w:rsidR="009D29AB" w:rsidRPr="009D29AB" w14:paraId="43E6A289" w14:textId="77777777" w:rsidTr="00D61F7B">
        <w:trPr>
          <w:trHeight w:val="130"/>
        </w:trPr>
        <w:tc>
          <w:tcPr>
            <w:tcW w:w="1538" w:type="dxa"/>
            <w:noWrap/>
            <w:vAlign w:val="center"/>
            <w:hideMark/>
          </w:tcPr>
          <w:p w14:paraId="1AE8512E"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2040</w:t>
            </w:r>
          </w:p>
        </w:tc>
        <w:tc>
          <w:tcPr>
            <w:tcW w:w="1956" w:type="dxa"/>
            <w:noWrap/>
            <w:vAlign w:val="center"/>
            <w:hideMark/>
          </w:tcPr>
          <w:p w14:paraId="5D7F0FE6"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7 000 000 000</w:t>
            </w:r>
          </w:p>
        </w:tc>
        <w:tc>
          <w:tcPr>
            <w:tcW w:w="1941" w:type="dxa"/>
            <w:noWrap/>
            <w:vAlign w:val="center"/>
            <w:hideMark/>
          </w:tcPr>
          <w:p w14:paraId="6E91E19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37 000 000</w:t>
            </w:r>
          </w:p>
        </w:tc>
        <w:tc>
          <w:tcPr>
            <w:tcW w:w="1794" w:type="dxa"/>
            <w:noWrap/>
            <w:vAlign w:val="center"/>
            <w:hideMark/>
          </w:tcPr>
          <w:p w14:paraId="6D8935E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7 037 000 000</w:t>
            </w:r>
          </w:p>
        </w:tc>
      </w:tr>
      <w:tr w:rsidR="009D29AB" w:rsidRPr="009D29AB" w14:paraId="2AF5345E" w14:textId="77777777" w:rsidTr="00D61F7B">
        <w:trPr>
          <w:trHeight w:val="130"/>
        </w:trPr>
        <w:tc>
          <w:tcPr>
            <w:tcW w:w="1538" w:type="dxa"/>
            <w:noWrap/>
            <w:vAlign w:val="center"/>
            <w:hideMark/>
          </w:tcPr>
          <w:p w14:paraId="01F628BB"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2041</w:t>
            </w:r>
          </w:p>
        </w:tc>
        <w:tc>
          <w:tcPr>
            <w:tcW w:w="1956" w:type="dxa"/>
            <w:noWrap/>
            <w:vAlign w:val="center"/>
            <w:hideMark/>
          </w:tcPr>
          <w:p w14:paraId="5B8541E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223F49E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10369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3238F1AA" w14:textId="77777777" w:rsidTr="00D61F7B">
        <w:trPr>
          <w:trHeight w:val="130"/>
        </w:trPr>
        <w:tc>
          <w:tcPr>
            <w:tcW w:w="1538" w:type="dxa"/>
            <w:noWrap/>
            <w:vAlign w:val="center"/>
            <w:hideMark/>
          </w:tcPr>
          <w:p w14:paraId="1BE6D497"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2042</w:t>
            </w:r>
          </w:p>
        </w:tc>
        <w:tc>
          <w:tcPr>
            <w:tcW w:w="1956" w:type="dxa"/>
            <w:noWrap/>
            <w:vAlign w:val="center"/>
            <w:hideMark/>
          </w:tcPr>
          <w:p w14:paraId="0176618D"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58916A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6736892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2E504F92" w14:textId="77777777" w:rsidTr="00D61F7B">
        <w:trPr>
          <w:trHeight w:val="130"/>
        </w:trPr>
        <w:tc>
          <w:tcPr>
            <w:tcW w:w="1538" w:type="dxa"/>
            <w:noWrap/>
            <w:vAlign w:val="center"/>
            <w:hideMark/>
          </w:tcPr>
          <w:p w14:paraId="4D9BE5B1"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2043</w:t>
            </w:r>
          </w:p>
        </w:tc>
        <w:tc>
          <w:tcPr>
            <w:tcW w:w="1956" w:type="dxa"/>
            <w:noWrap/>
            <w:vAlign w:val="center"/>
            <w:hideMark/>
          </w:tcPr>
          <w:p w14:paraId="70C7967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33E3FA9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C10747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E7DD" w14:textId="77777777" w:rsidTr="00D61F7B">
        <w:trPr>
          <w:trHeight w:val="130"/>
        </w:trPr>
        <w:tc>
          <w:tcPr>
            <w:tcW w:w="1538" w:type="dxa"/>
            <w:noWrap/>
            <w:vAlign w:val="center"/>
            <w:hideMark/>
          </w:tcPr>
          <w:p w14:paraId="5A096E2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2044</w:t>
            </w:r>
          </w:p>
        </w:tc>
        <w:tc>
          <w:tcPr>
            <w:tcW w:w="1956" w:type="dxa"/>
            <w:noWrap/>
            <w:vAlign w:val="center"/>
            <w:hideMark/>
          </w:tcPr>
          <w:p w14:paraId="36D4A1E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653971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1FD869CF"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07D0C572" w14:textId="77777777" w:rsidTr="00D61F7B">
        <w:trPr>
          <w:trHeight w:val="130"/>
        </w:trPr>
        <w:tc>
          <w:tcPr>
            <w:tcW w:w="1538" w:type="dxa"/>
            <w:noWrap/>
            <w:vAlign w:val="center"/>
            <w:hideMark/>
          </w:tcPr>
          <w:p w14:paraId="164EF5EF"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2045</w:t>
            </w:r>
          </w:p>
        </w:tc>
        <w:tc>
          <w:tcPr>
            <w:tcW w:w="1956" w:type="dxa"/>
            <w:noWrap/>
            <w:vAlign w:val="center"/>
            <w:hideMark/>
          </w:tcPr>
          <w:p w14:paraId="6E3D93D5"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B5D538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565B4E1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C5FB6A1" w14:textId="77777777" w:rsidTr="00D61F7B">
        <w:trPr>
          <w:trHeight w:val="130"/>
        </w:trPr>
        <w:tc>
          <w:tcPr>
            <w:tcW w:w="1538" w:type="dxa"/>
            <w:noWrap/>
            <w:vAlign w:val="center"/>
            <w:hideMark/>
          </w:tcPr>
          <w:p w14:paraId="6F335325"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2046</w:t>
            </w:r>
          </w:p>
        </w:tc>
        <w:tc>
          <w:tcPr>
            <w:tcW w:w="1956" w:type="dxa"/>
            <w:noWrap/>
            <w:vAlign w:val="center"/>
            <w:hideMark/>
          </w:tcPr>
          <w:p w14:paraId="1F099D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4EDE3AB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E7FEAC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816B637" w14:textId="77777777" w:rsidTr="00D61F7B">
        <w:trPr>
          <w:trHeight w:val="130"/>
        </w:trPr>
        <w:tc>
          <w:tcPr>
            <w:tcW w:w="1538" w:type="dxa"/>
            <w:noWrap/>
            <w:vAlign w:val="center"/>
            <w:hideMark/>
          </w:tcPr>
          <w:p w14:paraId="0EEE1782"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2047</w:t>
            </w:r>
          </w:p>
        </w:tc>
        <w:tc>
          <w:tcPr>
            <w:tcW w:w="1956" w:type="dxa"/>
            <w:noWrap/>
            <w:vAlign w:val="center"/>
            <w:hideMark/>
          </w:tcPr>
          <w:p w14:paraId="5F08819C"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64611E0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CC9E302"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4AFC4C76" w14:textId="77777777" w:rsidTr="00D61F7B">
        <w:trPr>
          <w:trHeight w:val="130"/>
        </w:trPr>
        <w:tc>
          <w:tcPr>
            <w:tcW w:w="1538" w:type="dxa"/>
            <w:noWrap/>
            <w:vAlign w:val="center"/>
            <w:hideMark/>
          </w:tcPr>
          <w:p w14:paraId="4A594ACD"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2048</w:t>
            </w:r>
          </w:p>
        </w:tc>
        <w:tc>
          <w:tcPr>
            <w:tcW w:w="1956" w:type="dxa"/>
            <w:noWrap/>
            <w:vAlign w:val="center"/>
            <w:hideMark/>
          </w:tcPr>
          <w:p w14:paraId="5E9766C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714DAA24"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4B85117A"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1B8FF155" w14:textId="77777777" w:rsidTr="00D61F7B">
        <w:trPr>
          <w:trHeight w:val="130"/>
        </w:trPr>
        <w:tc>
          <w:tcPr>
            <w:tcW w:w="1538" w:type="dxa"/>
            <w:noWrap/>
            <w:vAlign w:val="center"/>
            <w:hideMark/>
          </w:tcPr>
          <w:p w14:paraId="4C0E2E39"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2049</w:t>
            </w:r>
          </w:p>
        </w:tc>
        <w:tc>
          <w:tcPr>
            <w:tcW w:w="1956" w:type="dxa"/>
            <w:noWrap/>
            <w:vAlign w:val="center"/>
            <w:hideMark/>
          </w:tcPr>
          <w:p w14:paraId="57101500"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 xml:space="preserve"> </w:t>
            </w:r>
          </w:p>
        </w:tc>
        <w:tc>
          <w:tcPr>
            <w:tcW w:w="1941" w:type="dxa"/>
            <w:noWrap/>
            <w:vAlign w:val="center"/>
            <w:hideMark/>
          </w:tcPr>
          <w:p w14:paraId="1F02881B"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3F2C24E3"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r>
      <w:tr w:rsidR="009D29AB" w:rsidRPr="009D29AB" w14:paraId="6966094D" w14:textId="77777777" w:rsidTr="00D61F7B">
        <w:trPr>
          <w:trHeight w:val="130"/>
        </w:trPr>
        <w:tc>
          <w:tcPr>
            <w:tcW w:w="1538" w:type="dxa"/>
            <w:noWrap/>
            <w:vAlign w:val="center"/>
            <w:hideMark/>
          </w:tcPr>
          <w:p w14:paraId="7C2A0DB0" w14:textId="77777777" w:rsidR="009D29AB" w:rsidRPr="009D29AB" w:rsidRDefault="009D29AB" w:rsidP="009D29AB">
            <w:pPr>
              <w:jc w:val="center"/>
              <w:rPr>
                <w:rFonts w:ascii="Times New Roman" w:hAnsi="Times New Roman" w:cs="Times New Roman"/>
                <w:color w:val="000000" w:themeColor="text1"/>
                <w:sz w:val="20"/>
              </w:rPr>
            </w:pPr>
            <w:r>
              <w:rPr>
                <w:rFonts w:ascii="Times New Roman" w:hAnsi="Times New Roman"/>
                <w:color w:val="000000" w:themeColor="text1"/>
                <w:sz w:val="20"/>
              </w:rPr>
              <w:t>2050</w:t>
            </w:r>
          </w:p>
        </w:tc>
        <w:tc>
          <w:tcPr>
            <w:tcW w:w="1956" w:type="dxa"/>
            <w:noWrap/>
            <w:vAlign w:val="center"/>
            <w:hideMark/>
          </w:tcPr>
          <w:p w14:paraId="745C0189"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10 000 000 000</w:t>
            </w:r>
          </w:p>
        </w:tc>
        <w:tc>
          <w:tcPr>
            <w:tcW w:w="1941" w:type="dxa"/>
            <w:noWrap/>
            <w:vAlign w:val="center"/>
            <w:hideMark/>
          </w:tcPr>
          <w:p w14:paraId="08B3D47E"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30 000 000</w:t>
            </w:r>
          </w:p>
        </w:tc>
        <w:tc>
          <w:tcPr>
            <w:tcW w:w="1794" w:type="dxa"/>
            <w:noWrap/>
            <w:vAlign w:val="center"/>
            <w:hideMark/>
          </w:tcPr>
          <w:p w14:paraId="75EB92A7" w14:textId="77777777" w:rsidR="009D29AB" w:rsidRPr="009D29AB" w:rsidRDefault="009D29AB" w:rsidP="009D29AB">
            <w:pPr>
              <w:jc w:val="center"/>
              <w:rPr>
                <w:rFonts w:ascii="Times New Roman" w:hAnsi="Times New Roman" w:cs="Times New Roman"/>
                <w:sz w:val="20"/>
                <w:szCs w:val="20"/>
              </w:rPr>
            </w:pPr>
            <w:r>
              <w:rPr>
                <w:rFonts w:ascii="Times New Roman" w:hAnsi="Times New Roman"/>
                <w:color w:val="000000"/>
                <w:sz w:val="20"/>
                <w:szCs w:val="20"/>
              </w:rPr>
              <w:t>10 030 000 000</w:t>
            </w:r>
          </w:p>
        </w:tc>
      </w:tr>
      <w:tr w:rsidR="009D29AB" w:rsidRPr="009D29AB" w14:paraId="78B8A0A3" w14:textId="77777777" w:rsidTr="00D61F7B">
        <w:trPr>
          <w:trHeight w:val="130"/>
        </w:trPr>
        <w:tc>
          <w:tcPr>
            <w:tcW w:w="1538" w:type="dxa"/>
            <w:noWrap/>
            <w:vAlign w:val="center"/>
            <w:hideMark/>
          </w:tcPr>
          <w:p w14:paraId="0A7FB9E6" w14:textId="77777777" w:rsidR="009D29AB" w:rsidRPr="009D29AB" w:rsidRDefault="009D29AB" w:rsidP="009D29AB">
            <w:pPr>
              <w:jc w:val="center"/>
              <w:rPr>
                <w:rFonts w:ascii="Times New Roman" w:hAnsi="Times New Roman" w:cs="Times New Roman"/>
                <w:b/>
                <w:bCs/>
                <w:color w:val="000000" w:themeColor="text1"/>
                <w:sz w:val="20"/>
              </w:rPr>
            </w:pPr>
            <w:r>
              <w:rPr>
                <w:rFonts w:ascii="Times New Roman" w:hAnsi="Times New Roman"/>
                <w:b/>
                <w:bCs/>
                <w:color w:val="000000" w:themeColor="text1"/>
                <w:sz w:val="20"/>
              </w:rPr>
              <w:t>Ogółem</w:t>
            </w:r>
          </w:p>
        </w:tc>
        <w:tc>
          <w:tcPr>
            <w:tcW w:w="1956" w:type="dxa"/>
            <w:noWrap/>
            <w:vAlign w:val="center"/>
            <w:hideMark/>
          </w:tcPr>
          <w:p w14:paraId="610B67BF"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53 500 000 000</w:t>
            </w:r>
          </w:p>
        </w:tc>
        <w:tc>
          <w:tcPr>
            <w:tcW w:w="1941" w:type="dxa"/>
            <w:noWrap/>
            <w:vAlign w:val="center"/>
            <w:hideMark/>
          </w:tcPr>
          <w:p w14:paraId="0D97F743"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1 035 960 000</w:t>
            </w:r>
          </w:p>
        </w:tc>
        <w:tc>
          <w:tcPr>
            <w:tcW w:w="1794" w:type="dxa"/>
            <w:noWrap/>
            <w:vAlign w:val="center"/>
            <w:hideMark/>
          </w:tcPr>
          <w:p w14:paraId="19F575E5" w14:textId="77777777" w:rsidR="009D29AB" w:rsidRPr="009D29AB" w:rsidRDefault="009D29AB" w:rsidP="009D29AB">
            <w:pPr>
              <w:jc w:val="center"/>
              <w:rPr>
                <w:rFonts w:ascii="Times New Roman" w:hAnsi="Times New Roman" w:cs="Times New Roman"/>
                <w:b/>
                <w:sz w:val="20"/>
                <w:szCs w:val="20"/>
              </w:rPr>
            </w:pPr>
            <w:r>
              <w:rPr>
                <w:rFonts w:ascii="Times New Roman" w:hAnsi="Times New Roman"/>
                <w:b/>
                <w:bCs/>
                <w:color w:val="000000"/>
                <w:sz w:val="20"/>
                <w:szCs w:val="20"/>
              </w:rPr>
              <w:t>54 535 960 000</w:t>
            </w:r>
          </w:p>
        </w:tc>
      </w:tr>
    </w:tbl>
    <w:p w14:paraId="5DF7943C" w14:textId="77777777" w:rsidR="009D29AB" w:rsidRPr="009D29AB" w:rsidRDefault="009D29AB" w:rsidP="009D29AB">
      <w:pPr>
        <w:spacing w:before="120" w:after="120"/>
        <w:jc w:val="both"/>
        <w:rPr>
          <w:rFonts w:ascii="Times New Roman" w:hAnsi="Times New Roman" w:cs="Times New Roman"/>
          <w:color w:val="000000" w:themeColor="text1"/>
          <w:sz w:val="24"/>
        </w:rPr>
        <w:sectPr w:rsidR="009D29AB" w:rsidRPr="009D29AB" w:rsidSect="00AC3E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pPr>
    </w:p>
    <w:p w14:paraId="7DFEA7EC" w14:textId="773E6908" w:rsidR="009D29AB" w:rsidRPr="009D29AB" w:rsidRDefault="009D29AB" w:rsidP="009D29AB">
      <w:pPr>
        <w:spacing w:after="0"/>
        <w:rPr>
          <w:rFonts w:ascii="Times New Roman" w:hAnsi="Times New Roman" w:cs="Times New Roman"/>
          <w:color w:val="000000" w:themeColor="text1"/>
          <w:sz w:val="24"/>
        </w:rPr>
      </w:pPr>
      <w:r>
        <w:rPr>
          <w:rFonts w:ascii="Times New Roman" w:hAnsi="Times New Roman"/>
          <w:b/>
          <w:color w:val="000000" w:themeColor="text1"/>
          <w:sz w:val="24"/>
        </w:rPr>
        <w:t>Tabela 5:</w:t>
      </w:r>
      <w:r>
        <w:rPr>
          <w:rFonts w:ascii="Times New Roman" w:hAnsi="Times New Roman"/>
          <w:color w:val="000000" w:themeColor="text1"/>
          <w:sz w:val="24"/>
        </w:rPr>
        <w:t xml:space="preserve"> </w:t>
      </w:r>
      <w:r>
        <w:rPr>
          <w:rFonts w:ascii="Times New Roman" w:hAnsi="Times New Roman"/>
          <w:b/>
          <w:color w:val="000000" w:themeColor="text1"/>
          <w:sz w:val="24"/>
        </w:rPr>
        <w:t>Kwoty wypłacone na rzecz państw członkowskich</w:t>
      </w:r>
      <w:r w:rsidR="00A467B6">
        <w:rPr>
          <w:rFonts w:ascii="Times New Roman" w:hAnsi="Times New Roman"/>
          <w:b/>
          <w:color w:val="000000" w:themeColor="text1"/>
          <w:sz w:val="24"/>
        </w:rPr>
        <w:t xml:space="preserve"> w ram</w:t>
      </w:r>
      <w:r>
        <w:rPr>
          <w:rFonts w:ascii="Times New Roman" w:hAnsi="Times New Roman"/>
          <w:b/>
          <w:color w:val="000000" w:themeColor="text1"/>
          <w:sz w:val="24"/>
        </w:rPr>
        <w:t>ach SURE (w mld EUR)</w:t>
      </w:r>
    </w:p>
    <w:tbl>
      <w:tblPr>
        <w:tblpPr w:leftFromText="180" w:rightFromText="180" w:vertAnchor="text" w:horzAnchor="margin" w:tblpXSpec="center" w:tblpY="128"/>
        <w:tblW w:w="13575" w:type="dxa"/>
        <w:tblLayout w:type="fixed"/>
        <w:tblLook w:val="04A0" w:firstRow="1" w:lastRow="0" w:firstColumn="1" w:lastColumn="0" w:noHBand="0" w:noVBand="1"/>
      </w:tblPr>
      <w:tblGrid>
        <w:gridCol w:w="1101"/>
        <w:gridCol w:w="1134"/>
        <w:gridCol w:w="567"/>
        <w:gridCol w:w="567"/>
        <w:gridCol w:w="850"/>
        <w:gridCol w:w="567"/>
        <w:gridCol w:w="567"/>
        <w:gridCol w:w="851"/>
        <w:gridCol w:w="1417"/>
        <w:gridCol w:w="567"/>
        <w:gridCol w:w="551"/>
        <w:gridCol w:w="852"/>
        <w:gridCol w:w="850"/>
        <w:gridCol w:w="866"/>
        <w:gridCol w:w="1275"/>
        <w:gridCol w:w="993"/>
      </w:tblGrid>
      <w:tr w:rsidR="009D29AB" w:rsidRPr="0044230C" w14:paraId="26B18C4D" w14:textId="77777777" w:rsidTr="00FB1D87">
        <w:trPr>
          <w:trHeight w:val="790"/>
        </w:trPr>
        <w:tc>
          <w:tcPr>
            <w:tcW w:w="11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7CF8AE"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Państwo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5CED1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Kwota pierwotnej pożyczki</w:t>
            </w:r>
          </w:p>
        </w:tc>
        <w:tc>
          <w:tcPr>
            <w:tcW w:w="1984" w:type="dxa"/>
            <w:gridSpan w:val="3"/>
            <w:tcBorders>
              <w:top w:val="single" w:sz="8" w:space="0" w:color="auto"/>
              <w:left w:val="single" w:sz="8" w:space="0" w:color="auto"/>
              <w:bottom w:val="nil"/>
              <w:right w:val="single" w:sz="8" w:space="0" w:color="000000"/>
            </w:tcBorders>
            <w:shd w:val="clear" w:color="auto" w:fill="auto"/>
            <w:vAlign w:val="center"/>
            <w:hideMark/>
          </w:tcPr>
          <w:p w14:paraId="3DFFBEC7" w14:textId="5FA0A8D9"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 unijna emisja</w:t>
            </w:r>
            <w:r w:rsidR="00A467B6">
              <w:rPr>
                <w:rFonts w:ascii="Times New Roman" w:hAnsi="Times New Roman"/>
                <w:b/>
                <w:bCs/>
                <w:color w:val="000000"/>
                <w:sz w:val="18"/>
                <w:szCs w:val="18"/>
              </w:rPr>
              <w:t xml:space="preserve"> w ram</w:t>
            </w:r>
            <w:r>
              <w:rPr>
                <w:rFonts w:ascii="Times New Roman" w:hAnsi="Times New Roman"/>
                <w:b/>
                <w:bCs/>
                <w:color w:val="000000"/>
                <w:sz w:val="18"/>
                <w:szCs w:val="18"/>
              </w:rPr>
              <w:t>ach SUR</w:t>
            </w:r>
            <w:r w:rsidRPr="00A467B6">
              <w:rPr>
                <w:rFonts w:ascii="Times New Roman" w:hAnsi="Times New Roman"/>
                <w:b/>
                <w:bCs/>
                <w:color w:val="000000"/>
                <w:sz w:val="18"/>
                <w:szCs w:val="18"/>
              </w:rPr>
              <w:t>E</w:t>
            </w:r>
            <w:r w:rsidR="00A467B6" w:rsidRPr="00A467B6">
              <w:rPr>
                <w:rFonts w:ascii="Times New Roman" w:hAnsi="Times New Roman"/>
                <w:b/>
                <w:bCs/>
                <w:color w:val="000000"/>
                <w:sz w:val="18"/>
                <w:szCs w:val="18"/>
              </w:rPr>
              <w:t xml:space="preserve"> </w:t>
            </w:r>
            <w:r w:rsidRPr="00A467B6">
              <w:br/>
            </w:r>
            <w:r>
              <w:rPr>
                <w:rFonts w:ascii="Times New Roman" w:hAnsi="Times New Roman"/>
                <w:bCs/>
                <w:color w:val="000000"/>
                <w:sz w:val="18"/>
                <w:szCs w:val="18"/>
              </w:rPr>
              <w:t>Transakcja: 20.10.202</w:t>
            </w:r>
            <w:r w:rsidRPr="00A467B6">
              <w:rPr>
                <w:rFonts w:ascii="Times New Roman" w:hAnsi="Times New Roman"/>
                <w:bCs/>
                <w:color w:val="000000"/>
                <w:sz w:val="18"/>
                <w:szCs w:val="18"/>
              </w:rPr>
              <w:t>0</w:t>
            </w:r>
            <w:r w:rsidR="00A467B6" w:rsidRPr="00A467B6">
              <w:rPr>
                <w:rFonts w:ascii="Times New Roman" w:hAnsi="Times New Roman"/>
                <w:bCs/>
                <w:color w:val="000000"/>
                <w:sz w:val="18"/>
                <w:szCs w:val="18"/>
              </w:rPr>
              <w:t xml:space="preserve"> </w:t>
            </w:r>
            <w:r w:rsidRPr="00A467B6">
              <w:br/>
            </w:r>
            <w:r>
              <w:rPr>
                <w:rFonts w:ascii="Times New Roman" w:hAnsi="Times New Roman"/>
                <w:bCs/>
                <w:color w:val="000000"/>
                <w:sz w:val="18"/>
                <w:szCs w:val="18"/>
              </w:rPr>
              <w:t>Wypłata: 27.10.2020</w:t>
            </w:r>
          </w:p>
        </w:tc>
        <w:tc>
          <w:tcPr>
            <w:tcW w:w="1985" w:type="dxa"/>
            <w:gridSpan w:val="3"/>
            <w:tcBorders>
              <w:top w:val="single" w:sz="8" w:space="0" w:color="auto"/>
              <w:left w:val="nil"/>
              <w:bottom w:val="nil"/>
              <w:right w:val="single" w:sz="8" w:space="0" w:color="000000"/>
            </w:tcBorders>
            <w:shd w:val="clear" w:color="auto" w:fill="auto"/>
            <w:vAlign w:val="center"/>
            <w:hideMark/>
          </w:tcPr>
          <w:p w14:paraId="1746C012" w14:textId="70A268CA"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 unijna emisja</w:t>
            </w:r>
            <w:r w:rsidR="00A467B6">
              <w:rPr>
                <w:rFonts w:ascii="Times New Roman" w:hAnsi="Times New Roman"/>
                <w:b/>
                <w:bCs/>
                <w:color w:val="000000"/>
                <w:sz w:val="18"/>
                <w:szCs w:val="18"/>
              </w:rPr>
              <w:t xml:space="preserve"> w ram</w:t>
            </w:r>
            <w:r>
              <w:rPr>
                <w:rFonts w:ascii="Times New Roman" w:hAnsi="Times New Roman"/>
                <w:b/>
                <w:bCs/>
                <w:color w:val="000000"/>
                <w:sz w:val="18"/>
                <w:szCs w:val="18"/>
              </w:rPr>
              <w:t>ach SURE</w:t>
            </w:r>
            <w:r>
              <w:t xml:space="preserve"> </w:t>
            </w:r>
            <w:r>
              <w:br/>
            </w:r>
            <w:r>
              <w:rPr>
                <w:rFonts w:ascii="Times New Roman" w:hAnsi="Times New Roman"/>
                <w:bCs/>
                <w:color w:val="000000"/>
                <w:sz w:val="18"/>
                <w:szCs w:val="18"/>
              </w:rPr>
              <w:t>Transakcja: 10.11.2020</w:t>
            </w:r>
            <w:r>
              <w:t xml:space="preserve"> </w:t>
            </w:r>
            <w:r>
              <w:br/>
            </w:r>
            <w:r>
              <w:rPr>
                <w:rFonts w:ascii="Times New Roman" w:hAnsi="Times New Roman"/>
                <w:bCs/>
                <w:color w:val="000000"/>
                <w:sz w:val="18"/>
                <w:szCs w:val="18"/>
              </w:rPr>
              <w:t>Wypłata: 17.11.2020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0433BF9" w14:textId="3302EBE1"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 unijna emisja</w:t>
            </w:r>
            <w:r w:rsidR="00A467B6">
              <w:rPr>
                <w:rFonts w:ascii="Times New Roman" w:hAnsi="Times New Roman"/>
                <w:b/>
                <w:bCs/>
                <w:color w:val="000000"/>
                <w:sz w:val="18"/>
                <w:szCs w:val="18"/>
              </w:rPr>
              <w:t xml:space="preserve"> w ram</w:t>
            </w:r>
            <w:r>
              <w:rPr>
                <w:rFonts w:ascii="Times New Roman" w:hAnsi="Times New Roman"/>
                <w:b/>
                <w:bCs/>
                <w:color w:val="000000"/>
                <w:sz w:val="18"/>
                <w:szCs w:val="18"/>
              </w:rPr>
              <w:t>ach SURE</w:t>
            </w:r>
            <w:r>
              <w:t xml:space="preserve"> </w:t>
            </w:r>
            <w:r>
              <w:br/>
            </w:r>
            <w:r>
              <w:rPr>
                <w:rFonts w:ascii="Times New Roman" w:hAnsi="Times New Roman"/>
                <w:bCs/>
                <w:color w:val="000000"/>
                <w:sz w:val="18"/>
                <w:szCs w:val="18"/>
              </w:rPr>
              <w:t>Transakcja: 24.11.2020</w:t>
            </w:r>
            <w:r>
              <w:t xml:space="preserve"> </w:t>
            </w:r>
            <w:r>
              <w:br/>
            </w:r>
            <w:r>
              <w:rPr>
                <w:rFonts w:ascii="Times New Roman" w:hAnsi="Times New Roman"/>
                <w:bCs/>
                <w:color w:val="000000"/>
                <w:sz w:val="18"/>
                <w:szCs w:val="18"/>
              </w:rPr>
              <w:t>Wypłata: 01.12.2020</w:t>
            </w:r>
          </w:p>
        </w:tc>
        <w:tc>
          <w:tcPr>
            <w:tcW w:w="1970" w:type="dxa"/>
            <w:gridSpan w:val="3"/>
            <w:tcBorders>
              <w:top w:val="single" w:sz="8" w:space="0" w:color="auto"/>
              <w:left w:val="nil"/>
              <w:bottom w:val="single" w:sz="8" w:space="0" w:color="auto"/>
              <w:right w:val="single" w:sz="8" w:space="0" w:color="000000"/>
            </w:tcBorders>
            <w:shd w:val="clear" w:color="auto" w:fill="auto"/>
            <w:vAlign w:val="center"/>
            <w:hideMark/>
          </w:tcPr>
          <w:p w14:paraId="7E60733B" w14:textId="6CD25EC0"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4. unijna emisja</w:t>
            </w:r>
            <w:r w:rsidR="00A467B6">
              <w:rPr>
                <w:rFonts w:ascii="Times New Roman" w:hAnsi="Times New Roman"/>
                <w:b/>
                <w:bCs/>
                <w:color w:val="000000"/>
                <w:sz w:val="18"/>
                <w:szCs w:val="18"/>
              </w:rPr>
              <w:t xml:space="preserve"> w ram</w:t>
            </w:r>
            <w:r>
              <w:rPr>
                <w:rFonts w:ascii="Times New Roman" w:hAnsi="Times New Roman"/>
                <w:b/>
                <w:bCs/>
                <w:color w:val="000000"/>
                <w:sz w:val="18"/>
                <w:szCs w:val="18"/>
              </w:rPr>
              <w:t>ach SURE</w:t>
            </w:r>
            <w:r>
              <w:t xml:space="preserve"> </w:t>
            </w:r>
            <w:r>
              <w:br/>
            </w:r>
            <w:r>
              <w:rPr>
                <w:rFonts w:ascii="Times New Roman" w:hAnsi="Times New Roman"/>
                <w:bCs/>
                <w:color w:val="000000"/>
                <w:sz w:val="18"/>
                <w:szCs w:val="18"/>
              </w:rPr>
              <w:t>Transakcja: 26.01.2021</w:t>
            </w:r>
            <w:r>
              <w:t xml:space="preserve"> </w:t>
            </w:r>
            <w:r>
              <w:br/>
            </w:r>
            <w:r>
              <w:rPr>
                <w:rFonts w:ascii="Times New Roman" w:hAnsi="Times New Roman"/>
                <w:bCs/>
                <w:color w:val="000000"/>
                <w:sz w:val="18"/>
                <w:szCs w:val="18"/>
              </w:rPr>
              <w:t>Wypłata: 02.02.2021</w:t>
            </w:r>
          </w:p>
        </w:tc>
        <w:tc>
          <w:tcPr>
            <w:tcW w:w="850" w:type="dxa"/>
            <w:tcBorders>
              <w:top w:val="single" w:sz="8" w:space="0" w:color="auto"/>
              <w:left w:val="single" w:sz="8" w:space="0" w:color="auto"/>
              <w:right w:val="single" w:sz="8" w:space="0" w:color="auto"/>
            </w:tcBorders>
            <w:shd w:val="clear" w:color="auto" w:fill="auto"/>
            <w:vAlign w:val="center"/>
            <w:hideMark/>
          </w:tcPr>
          <w:p w14:paraId="55318BFA"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SURE ogółem</w:t>
            </w:r>
          </w:p>
        </w:tc>
        <w:tc>
          <w:tcPr>
            <w:tcW w:w="866" w:type="dxa"/>
            <w:tcBorders>
              <w:top w:val="single" w:sz="8" w:space="0" w:color="auto"/>
              <w:left w:val="single" w:sz="8" w:space="0" w:color="auto"/>
              <w:right w:val="single" w:sz="8" w:space="0" w:color="auto"/>
            </w:tcBorders>
            <w:shd w:val="clear" w:color="auto" w:fill="auto"/>
            <w:vAlign w:val="center"/>
            <w:hideMark/>
          </w:tcPr>
          <w:p w14:paraId="68D3E53D" w14:textId="2DE0394D"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kwoty ogółem,</w:t>
            </w:r>
            <w:r w:rsidR="00A467B6">
              <w:rPr>
                <w:rFonts w:ascii="Times New Roman" w:hAnsi="Times New Roman"/>
                <w:b/>
                <w:bCs/>
                <w:color w:val="000000"/>
                <w:sz w:val="18"/>
                <w:szCs w:val="18"/>
              </w:rPr>
              <w:t xml:space="preserve"> o któ</w:t>
            </w:r>
            <w:r>
              <w:rPr>
                <w:rFonts w:ascii="Times New Roman" w:hAnsi="Times New Roman"/>
                <w:b/>
                <w:bCs/>
                <w:color w:val="000000"/>
                <w:sz w:val="18"/>
                <w:szCs w:val="18"/>
              </w:rPr>
              <w:t>rą wystąpiono</w:t>
            </w:r>
          </w:p>
        </w:tc>
        <w:tc>
          <w:tcPr>
            <w:tcW w:w="1275" w:type="dxa"/>
            <w:tcBorders>
              <w:top w:val="single" w:sz="8" w:space="0" w:color="auto"/>
              <w:left w:val="single" w:sz="8" w:space="0" w:color="auto"/>
              <w:right w:val="single" w:sz="8" w:space="0" w:color="auto"/>
            </w:tcBorders>
            <w:shd w:val="clear" w:color="auto" w:fill="auto"/>
            <w:vAlign w:val="center"/>
            <w:hideMark/>
          </w:tcPr>
          <w:p w14:paraId="240E32D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Średnia zapadalność (w latach)</w:t>
            </w:r>
          </w:p>
        </w:tc>
        <w:tc>
          <w:tcPr>
            <w:tcW w:w="993" w:type="dxa"/>
            <w:tcBorders>
              <w:top w:val="single" w:sz="8" w:space="0" w:color="auto"/>
              <w:left w:val="single" w:sz="8" w:space="0" w:color="auto"/>
              <w:right w:val="single" w:sz="8" w:space="0" w:color="auto"/>
            </w:tcBorders>
          </w:tcPr>
          <w:p w14:paraId="4FC07E1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Kwota pozostała do wypłaty</w:t>
            </w:r>
          </w:p>
        </w:tc>
      </w:tr>
      <w:tr w:rsidR="00FB1D87" w:rsidRPr="009D29AB" w14:paraId="7482EE71" w14:textId="77777777" w:rsidTr="00FB1D87">
        <w:trPr>
          <w:trHeight w:val="300"/>
        </w:trPr>
        <w:tc>
          <w:tcPr>
            <w:tcW w:w="1101" w:type="dxa"/>
            <w:vMerge/>
            <w:tcBorders>
              <w:top w:val="single" w:sz="8" w:space="0" w:color="auto"/>
              <w:left w:val="single" w:sz="8" w:space="0" w:color="auto"/>
              <w:bottom w:val="single" w:sz="8" w:space="0" w:color="000000"/>
              <w:right w:val="single" w:sz="8" w:space="0" w:color="auto"/>
            </w:tcBorders>
            <w:vAlign w:val="center"/>
            <w:hideMark/>
          </w:tcPr>
          <w:p w14:paraId="046020F2"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lang w:val="en-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DC9583"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lang w:val="en-US"/>
              </w:rPr>
            </w:pP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60CC3D"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10 lat</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787E733"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 lat</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23BD5B5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Ogółem</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2668501"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5 lat</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209542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lat</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5AED2484"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Ogółem</w:t>
            </w:r>
          </w:p>
        </w:tc>
        <w:tc>
          <w:tcPr>
            <w:tcW w:w="1417" w:type="dxa"/>
            <w:tcBorders>
              <w:top w:val="nil"/>
              <w:left w:val="nil"/>
              <w:bottom w:val="single" w:sz="8" w:space="0" w:color="auto"/>
              <w:right w:val="single" w:sz="4" w:space="0" w:color="auto"/>
            </w:tcBorders>
            <w:shd w:val="clear" w:color="auto" w:fill="auto"/>
            <w:noWrap/>
            <w:vAlign w:val="center"/>
            <w:hideMark/>
          </w:tcPr>
          <w:p w14:paraId="569ED47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15 lat</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2648A987"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7 lat</w:t>
            </w:r>
          </w:p>
        </w:tc>
        <w:tc>
          <w:tcPr>
            <w:tcW w:w="551" w:type="dxa"/>
            <w:tcBorders>
              <w:top w:val="nil"/>
              <w:left w:val="nil"/>
              <w:bottom w:val="single" w:sz="8" w:space="0" w:color="auto"/>
              <w:right w:val="single" w:sz="4" w:space="0" w:color="auto"/>
            </w:tcBorders>
            <w:shd w:val="clear" w:color="auto" w:fill="auto"/>
            <w:noWrap/>
            <w:vAlign w:val="center"/>
            <w:hideMark/>
          </w:tcPr>
          <w:p w14:paraId="4C9C558B"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30 lat</w:t>
            </w:r>
          </w:p>
        </w:tc>
        <w:tc>
          <w:tcPr>
            <w:tcW w:w="852" w:type="dxa"/>
            <w:tcBorders>
              <w:top w:val="nil"/>
              <w:left w:val="nil"/>
              <w:bottom w:val="single" w:sz="8" w:space="0" w:color="auto"/>
              <w:right w:val="single" w:sz="8" w:space="0" w:color="auto"/>
            </w:tcBorders>
            <w:shd w:val="clear" w:color="000000" w:fill="FFFFFF"/>
            <w:vAlign w:val="center"/>
            <w:hideMark/>
          </w:tcPr>
          <w:p w14:paraId="248A8380"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Ogółem</w:t>
            </w:r>
          </w:p>
        </w:tc>
        <w:tc>
          <w:tcPr>
            <w:tcW w:w="850" w:type="dxa"/>
            <w:tcBorders>
              <w:left w:val="single" w:sz="8" w:space="0" w:color="auto"/>
              <w:bottom w:val="single" w:sz="8" w:space="0" w:color="000000"/>
              <w:right w:val="single" w:sz="8" w:space="0" w:color="auto"/>
            </w:tcBorders>
            <w:vAlign w:val="center"/>
            <w:hideMark/>
          </w:tcPr>
          <w:p w14:paraId="70E37C58"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866" w:type="dxa"/>
            <w:tcBorders>
              <w:left w:val="single" w:sz="8" w:space="0" w:color="auto"/>
              <w:bottom w:val="single" w:sz="8" w:space="0" w:color="000000"/>
              <w:right w:val="single" w:sz="8" w:space="0" w:color="auto"/>
            </w:tcBorders>
            <w:vAlign w:val="center"/>
            <w:hideMark/>
          </w:tcPr>
          <w:p w14:paraId="62263AAC"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1275" w:type="dxa"/>
            <w:tcBorders>
              <w:left w:val="single" w:sz="8" w:space="0" w:color="auto"/>
              <w:bottom w:val="single" w:sz="8" w:space="0" w:color="000000"/>
              <w:right w:val="single" w:sz="8" w:space="0" w:color="auto"/>
            </w:tcBorders>
            <w:vAlign w:val="center"/>
            <w:hideMark/>
          </w:tcPr>
          <w:p w14:paraId="6FA5B851"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c>
          <w:tcPr>
            <w:tcW w:w="993" w:type="dxa"/>
            <w:tcBorders>
              <w:left w:val="single" w:sz="8" w:space="0" w:color="auto"/>
              <w:bottom w:val="single" w:sz="8" w:space="0" w:color="000000"/>
              <w:right w:val="single" w:sz="8" w:space="0" w:color="auto"/>
            </w:tcBorders>
          </w:tcPr>
          <w:p w14:paraId="439CE17A" w14:textId="77777777" w:rsidR="009D29AB" w:rsidRPr="009D29AB" w:rsidRDefault="009D29AB" w:rsidP="009D29AB">
            <w:pPr>
              <w:spacing w:after="0" w:line="240" w:lineRule="auto"/>
              <w:rPr>
                <w:rFonts w:ascii="Times New Roman" w:eastAsia="Times New Roman" w:hAnsi="Times New Roman" w:cs="Times New Roman"/>
                <w:b/>
                <w:bCs/>
                <w:color w:val="000000"/>
                <w:sz w:val="18"/>
                <w:szCs w:val="18"/>
              </w:rPr>
            </w:pPr>
          </w:p>
        </w:tc>
      </w:tr>
      <w:tr w:rsidR="00FB1D87" w:rsidRPr="009D29AB" w14:paraId="79E494DC" w14:textId="77777777" w:rsidTr="00FB1D87">
        <w:trPr>
          <w:trHeight w:val="290"/>
        </w:trPr>
        <w:tc>
          <w:tcPr>
            <w:tcW w:w="1101" w:type="dxa"/>
            <w:tcBorders>
              <w:top w:val="nil"/>
              <w:left w:val="single" w:sz="8" w:space="0" w:color="auto"/>
              <w:bottom w:val="nil"/>
              <w:right w:val="single" w:sz="8" w:space="0" w:color="auto"/>
            </w:tcBorders>
            <w:shd w:val="clear" w:color="000000" w:fill="BDD7EE"/>
            <w:noWrap/>
            <w:vAlign w:val="center"/>
            <w:hideMark/>
          </w:tcPr>
          <w:p w14:paraId="5E025F2F"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Belgia</w:t>
            </w:r>
          </w:p>
        </w:tc>
        <w:tc>
          <w:tcPr>
            <w:tcW w:w="1134" w:type="dxa"/>
            <w:tcBorders>
              <w:top w:val="nil"/>
              <w:left w:val="nil"/>
              <w:bottom w:val="nil"/>
              <w:right w:val="nil"/>
            </w:tcBorders>
            <w:shd w:val="clear" w:color="000000" w:fill="BDD7EE"/>
            <w:noWrap/>
            <w:vAlign w:val="center"/>
            <w:hideMark/>
          </w:tcPr>
          <w:p w14:paraId="1C0A6AE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7,80</w:t>
            </w:r>
          </w:p>
        </w:tc>
        <w:tc>
          <w:tcPr>
            <w:tcW w:w="567" w:type="dxa"/>
            <w:tcBorders>
              <w:top w:val="nil"/>
              <w:left w:val="single" w:sz="8" w:space="0" w:color="auto"/>
              <w:bottom w:val="nil"/>
              <w:right w:val="single" w:sz="4" w:space="0" w:color="auto"/>
            </w:tcBorders>
            <w:shd w:val="clear" w:color="000000" w:fill="BDD7EE"/>
            <w:noWrap/>
            <w:vAlign w:val="center"/>
            <w:hideMark/>
          </w:tcPr>
          <w:p w14:paraId="56B4488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hideMark/>
          </w:tcPr>
          <w:p w14:paraId="5D4E713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000000" w:fill="BDD7EE"/>
            <w:noWrap/>
            <w:vAlign w:val="center"/>
            <w:hideMark/>
          </w:tcPr>
          <w:p w14:paraId="255A9B4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hideMark/>
          </w:tcPr>
          <w:p w14:paraId="2003F180"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67" w:type="dxa"/>
            <w:tcBorders>
              <w:top w:val="nil"/>
              <w:left w:val="nil"/>
              <w:bottom w:val="nil"/>
              <w:right w:val="single" w:sz="4" w:space="0" w:color="auto"/>
            </w:tcBorders>
            <w:shd w:val="clear" w:color="000000" w:fill="BDD7EE"/>
            <w:noWrap/>
            <w:vAlign w:val="center"/>
            <w:hideMark/>
          </w:tcPr>
          <w:p w14:paraId="525474E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8" w:space="0" w:color="auto"/>
            </w:tcBorders>
            <w:shd w:val="clear" w:color="000000" w:fill="BDD7EE"/>
            <w:noWrap/>
            <w:vAlign w:val="center"/>
            <w:hideMark/>
          </w:tcPr>
          <w:p w14:paraId="0D15544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17" w:type="dxa"/>
            <w:tcBorders>
              <w:top w:val="nil"/>
              <w:left w:val="nil"/>
              <w:bottom w:val="nil"/>
              <w:right w:val="single" w:sz="8" w:space="0" w:color="auto"/>
            </w:tcBorders>
            <w:shd w:val="clear" w:color="000000" w:fill="BDD7EE"/>
            <w:vAlign w:val="center"/>
            <w:hideMark/>
          </w:tcPr>
          <w:p w14:paraId="064EEE8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567" w:type="dxa"/>
            <w:tcBorders>
              <w:top w:val="nil"/>
              <w:left w:val="nil"/>
              <w:bottom w:val="nil"/>
              <w:right w:val="single" w:sz="4" w:space="0" w:color="auto"/>
            </w:tcBorders>
            <w:shd w:val="clear" w:color="000000" w:fill="BDD7EE"/>
            <w:noWrap/>
            <w:vAlign w:val="center"/>
            <w:hideMark/>
          </w:tcPr>
          <w:p w14:paraId="1D217681"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1,3</w:t>
            </w:r>
          </w:p>
        </w:tc>
        <w:tc>
          <w:tcPr>
            <w:tcW w:w="551" w:type="dxa"/>
            <w:tcBorders>
              <w:top w:val="nil"/>
              <w:left w:val="nil"/>
              <w:bottom w:val="nil"/>
              <w:right w:val="single" w:sz="4" w:space="0" w:color="auto"/>
            </w:tcBorders>
            <w:shd w:val="clear" w:color="000000" w:fill="BDD7EE"/>
            <w:noWrap/>
            <w:vAlign w:val="center"/>
            <w:hideMark/>
          </w:tcPr>
          <w:p w14:paraId="27CBF4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0,7</w:t>
            </w:r>
          </w:p>
        </w:tc>
        <w:tc>
          <w:tcPr>
            <w:tcW w:w="852" w:type="dxa"/>
            <w:tcBorders>
              <w:top w:val="nil"/>
              <w:left w:val="nil"/>
              <w:bottom w:val="nil"/>
              <w:right w:val="single" w:sz="8" w:space="0" w:color="auto"/>
            </w:tcBorders>
            <w:shd w:val="clear" w:color="000000" w:fill="BDD7EE"/>
            <w:noWrap/>
            <w:vAlign w:val="center"/>
            <w:hideMark/>
          </w:tcPr>
          <w:p w14:paraId="5680F00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850" w:type="dxa"/>
            <w:tcBorders>
              <w:top w:val="nil"/>
              <w:left w:val="nil"/>
              <w:bottom w:val="nil"/>
              <w:right w:val="single" w:sz="8" w:space="0" w:color="auto"/>
            </w:tcBorders>
            <w:shd w:val="clear" w:color="000000" w:fill="BDD7EE"/>
            <w:vAlign w:val="center"/>
            <w:hideMark/>
          </w:tcPr>
          <w:p w14:paraId="2B864AD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866" w:type="dxa"/>
            <w:tcBorders>
              <w:top w:val="nil"/>
              <w:left w:val="nil"/>
              <w:bottom w:val="nil"/>
              <w:right w:val="single" w:sz="8" w:space="0" w:color="auto"/>
            </w:tcBorders>
            <w:shd w:val="clear" w:color="000000" w:fill="BDD7EE"/>
            <w:vAlign w:val="center"/>
            <w:hideMark/>
          </w:tcPr>
          <w:p w14:paraId="59F2CAD6" w14:textId="73AF410C"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w:t>
            </w:r>
            <w:r w:rsidRPr="00A467B6">
              <w:rPr>
                <w:rFonts w:ascii="Times New Roman" w:hAnsi="Times New Roman"/>
                <w:b/>
                <w:bCs/>
                <w:color w:val="000000"/>
                <w:sz w:val="18"/>
                <w:szCs w:val="18"/>
              </w:rPr>
              <w:t>1</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000000" w:fill="BDD7EE"/>
            <w:vAlign w:val="center"/>
            <w:hideMark/>
          </w:tcPr>
          <w:p w14:paraId="525C69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993" w:type="dxa"/>
            <w:tcBorders>
              <w:top w:val="nil"/>
              <w:left w:val="nil"/>
              <w:bottom w:val="nil"/>
              <w:right w:val="single" w:sz="8" w:space="0" w:color="auto"/>
            </w:tcBorders>
            <w:shd w:val="clear" w:color="000000" w:fill="BDD7EE"/>
            <w:vAlign w:val="center"/>
          </w:tcPr>
          <w:p w14:paraId="3E4F0E4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3,8</w:t>
            </w:r>
          </w:p>
        </w:tc>
      </w:tr>
      <w:tr w:rsidR="009D29AB" w:rsidRPr="009D29AB" w14:paraId="37EC2FAB" w14:textId="77777777" w:rsidTr="00FB1D87">
        <w:trPr>
          <w:trHeight w:val="290"/>
        </w:trPr>
        <w:tc>
          <w:tcPr>
            <w:tcW w:w="1101" w:type="dxa"/>
            <w:tcBorders>
              <w:top w:val="nil"/>
              <w:left w:val="single" w:sz="8" w:space="0" w:color="auto"/>
              <w:bottom w:val="nil"/>
              <w:right w:val="single" w:sz="8" w:space="0" w:color="auto"/>
            </w:tcBorders>
            <w:shd w:val="clear" w:color="auto" w:fill="auto"/>
            <w:noWrap/>
            <w:vAlign w:val="center"/>
            <w:hideMark/>
          </w:tcPr>
          <w:p w14:paraId="512FA38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Bułgaria</w:t>
            </w:r>
          </w:p>
        </w:tc>
        <w:tc>
          <w:tcPr>
            <w:tcW w:w="1134" w:type="dxa"/>
            <w:tcBorders>
              <w:top w:val="nil"/>
              <w:left w:val="nil"/>
              <w:bottom w:val="nil"/>
              <w:right w:val="nil"/>
            </w:tcBorders>
            <w:shd w:val="clear" w:color="auto" w:fill="auto"/>
            <w:noWrap/>
            <w:vAlign w:val="center"/>
            <w:hideMark/>
          </w:tcPr>
          <w:p w14:paraId="2BA213C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0,51</w:t>
            </w:r>
          </w:p>
        </w:tc>
        <w:tc>
          <w:tcPr>
            <w:tcW w:w="567" w:type="dxa"/>
            <w:tcBorders>
              <w:top w:val="nil"/>
              <w:left w:val="single" w:sz="8" w:space="0" w:color="auto"/>
              <w:bottom w:val="nil"/>
              <w:right w:val="single" w:sz="4" w:space="0" w:color="auto"/>
            </w:tcBorders>
            <w:shd w:val="clear" w:color="auto" w:fill="auto"/>
            <w:noWrap/>
            <w:vAlign w:val="center"/>
            <w:hideMark/>
          </w:tcPr>
          <w:p w14:paraId="03DE15B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auto" w:fill="auto"/>
            <w:noWrap/>
            <w:vAlign w:val="center"/>
            <w:hideMark/>
          </w:tcPr>
          <w:p w14:paraId="79F48F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auto" w:fill="auto"/>
            <w:noWrap/>
            <w:vAlign w:val="center"/>
            <w:hideMark/>
          </w:tcPr>
          <w:p w14:paraId="363623F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FFFFFF"/>
            <w:noWrap/>
            <w:vAlign w:val="center"/>
            <w:hideMark/>
          </w:tcPr>
          <w:p w14:paraId="560FBCA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67" w:type="dxa"/>
            <w:tcBorders>
              <w:top w:val="nil"/>
              <w:left w:val="nil"/>
              <w:bottom w:val="nil"/>
              <w:right w:val="single" w:sz="4" w:space="0" w:color="auto"/>
            </w:tcBorders>
            <w:shd w:val="clear" w:color="auto" w:fill="auto"/>
            <w:noWrap/>
            <w:vAlign w:val="center"/>
            <w:hideMark/>
          </w:tcPr>
          <w:p w14:paraId="34C677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8" w:space="0" w:color="auto"/>
            </w:tcBorders>
            <w:shd w:val="clear" w:color="auto" w:fill="auto"/>
            <w:noWrap/>
            <w:vAlign w:val="center"/>
            <w:hideMark/>
          </w:tcPr>
          <w:p w14:paraId="3CE7AD6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17" w:type="dxa"/>
            <w:tcBorders>
              <w:top w:val="nil"/>
              <w:left w:val="nil"/>
              <w:bottom w:val="nil"/>
              <w:right w:val="single" w:sz="8" w:space="0" w:color="auto"/>
            </w:tcBorders>
            <w:shd w:val="clear" w:color="auto" w:fill="auto"/>
            <w:vAlign w:val="center"/>
            <w:hideMark/>
          </w:tcPr>
          <w:p w14:paraId="1EF45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FFFFFF"/>
            <w:noWrap/>
            <w:vAlign w:val="center"/>
            <w:hideMark/>
          </w:tcPr>
          <w:p w14:paraId="1E3F1A2B"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51" w:type="dxa"/>
            <w:tcBorders>
              <w:top w:val="nil"/>
              <w:left w:val="nil"/>
              <w:bottom w:val="nil"/>
              <w:right w:val="single" w:sz="4" w:space="0" w:color="auto"/>
            </w:tcBorders>
            <w:shd w:val="clear" w:color="auto" w:fill="auto"/>
            <w:noWrap/>
            <w:vAlign w:val="center"/>
            <w:hideMark/>
          </w:tcPr>
          <w:p w14:paraId="75DB966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2" w:type="dxa"/>
            <w:tcBorders>
              <w:top w:val="nil"/>
              <w:left w:val="nil"/>
              <w:bottom w:val="nil"/>
              <w:right w:val="single" w:sz="8" w:space="0" w:color="auto"/>
            </w:tcBorders>
            <w:shd w:val="clear" w:color="auto" w:fill="auto"/>
            <w:noWrap/>
            <w:vAlign w:val="center"/>
            <w:hideMark/>
          </w:tcPr>
          <w:p w14:paraId="04268CE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0" w:type="dxa"/>
            <w:tcBorders>
              <w:top w:val="nil"/>
              <w:left w:val="nil"/>
              <w:bottom w:val="nil"/>
              <w:right w:val="single" w:sz="8" w:space="0" w:color="auto"/>
            </w:tcBorders>
            <w:shd w:val="clear" w:color="auto" w:fill="auto"/>
            <w:vAlign w:val="center"/>
            <w:hideMark/>
          </w:tcPr>
          <w:p w14:paraId="55F8EB9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66" w:type="dxa"/>
            <w:tcBorders>
              <w:top w:val="nil"/>
              <w:left w:val="nil"/>
              <w:bottom w:val="nil"/>
              <w:right w:val="single" w:sz="8" w:space="0" w:color="auto"/>
            </w:tcBorders>
            <w:shd w:val="clear" w:color="auto" w:fill="auto"/>
            <w:vAlign w:val="center"/>
            <w:hideMark/>
          </w:tcPr>
          <w:p w14:paraId="4971C5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275" w:type="dxa"/>
            <w:tcBorders>
              <w:top w:val="nil"/>
              <w:left w:val="nil"/>
              <w:bottom w:val="nil"/>
              <w:right w:val="single" w:sz="8" w:space="0" w:color="auto"/>
            </w:tcBorders>
            <w:shd w:val="clear" w:color="auto" w:fill="auto"/>
            <w:vAlign w:val="center"/>
            <w:hideMark/>
          </w:tcPr>
          <w:p w14:paraId="2CA490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993" w:type="dxa"/>
            <w:tcBorders>
              <w:top w:val="nil"/>
              <w:left w:val="nil"/>
              <w:bottom w:val="nil"/>
              <w:right w:val="single" w:sz="8" w:space="0" w:color="auto"/>
            </w:tcBorders>
            <w:vAlign w:val="center"/>
          </w:tcPr>
          <w:p w14:paraId="404F29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FB1D87" w:rsidRPr="009D29AB" w14:paraId="28FFD1D3" w14:textId="77777777" w:rsidTr="00FB1D87">
        <w:trPr>
          <w:trHeight w:val="290"/>
        </w:trPr>
        <w:tc>
          <w:tcPr>
            <w:tcW w:w="1101" w:type="dxa"/>
            <w:tcBorders>
              <w:top w:val="nil"/>
              <w:left w:val="single" w:sz="8" w:space="0" w:color="auto"/>
              <w:bottom w:val="nil"/>
              <w:right w:val="single" w:sz="8" w:space="0" w:color="auto"/>
            </w:tcBorders>
            <w:shd w:val="clear" w:color="000000" w:fill="BDD7EE"/>
            <w:noWrap/>
            <w:vAlign w:val="center"/>
            <w:hideMark/>
          </w:tcPr>
          <w:p w14:paraId="7AED780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Cypr</w:t>
            </w:r>
          </w:p>
        </w:tc>
        <w:tc>
          <w:tcPr>
            <w:tcW w:w="1134" w:type="dxa"/>
            <w:tcBorders>
              <w:top w:val="nil"/>
              <w:left w:val="nil"/>
              <w:bottom w:val="nil"/>
              <w:right w:val="nil"/>
            </w:tcBorders>
            <w:shd w:val="clear" w:color="000000" w:fill="BDD7EE"/>
            <w:noWrap/>
            <w:vAlign w:val="center"/>
            <w:hideMark/>
          </w:tcPr>
          <w:p w14:paraId="03238F2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0,48</w:t>
            </w:r>
          </w:p>
        </w:tc>
        <w:tc>
          <w:tcPr>
            <w:tcW w:w="567" w:type="dxa"/>
            <w:tcBorders>
              <w:top w:val="nil"/>
              <w:left w:val="single" w:sz="8" w:space="0" w:color="auto"/>
              <w:bottom w:val="nil"/>
              <w:right w:val="single" w:sz="4" w:space="0" w:color="auto"/>
            </w:tcBorders>
            <w:shd w:val="clear" w:color="000000" w:fill="BDD7EE"/>
            <w:noWrap/>
            <w:vAlign w:val="center"/>
            <w:hideMark/>
          </w:tcPr>
          <w:p w14:paraId="0636709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hideMark/>
          </w:tcPr>
          <w:p w14:paraId="718AA3B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000000" w:fill="BDD7EE"/>
            <w:noWrap/>
            <w:vAlign w:val="center"/>
            <w:hideMark/>
          </w:tcPr>
          <w:p w14:paraId="6EB7267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hideMark/>
          </w:tcPr>
          <w:p w14:paraId="034B9E7E"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567" w:type="dxa"/>
            <w:tcBorders>
              <w:top w:val="nil"/>
              <w:left w:val="nil"/>
              <w:bottom w:val="nil"/>
              <w:right w:val="single" w:sz="4" w:space="0" w:color="auto"/>
            </w:tcBorders>
            <w:shd w:val="clear" w:color="000000" w:fill="BDD7EE"/>
            <w:noWrap/>
            <w:vAlign w:val="center"/>
            <w:hideMark/>
          </w:tcPr>
          <w:p w14:paraId="070BF39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851" w:type="dxa"/>
            <w:tcBorders>
              <w:top w:val="nil"/>
              <w:left w:val="nil"/>
              <w:bottom w:val="nil"/>
              <w:right w:val="single" w:sz="8" w:space="0" w:color="auto"/>
            </w:tcBorders>
            <w:shd w:val="clear" w:color="000000" w:fill="BDD7EE"/>
            <w:noWrap/>
            <w:vAlign w:val="center"/>
            <w:hideMark/>
          </w:tcPr>
          <w:p w14:paraId="708D651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17" w:type="dxa"/>
            <w:tcBorders>
              <w:top w:val="nil"/>
              <w:left w:val="nil"/>
              <w:bottom w:val="nil"/>
              <w:right w:val="single" w:sz="8" w:space="0" w:color="auto"/>
            </w:tcBorders>
            <w:shd w:val="clear" w:color="000000" w:fill="BDD7EE"/>
            <w:vAlign w:val="center"/>
            <w:hideMark/>
          </w:tcPr>
          <w:p w14:paraId="7B6CF8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hideMark/>
          </w:tcPr>
          <w:p w14:paraId="1E7D4B9B"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551" w:type="dxa"/>
            <w:tcBorders>
              <w:top w:val="nil"/>
              <w:left w:val="nil"/>
              <w:bottom w:val="nil"/>
              <w:right w:val="single" w:sz="4" w:space="0" w:color="auto"/>
            </w:tcBorders>
            <w:shd w:val="clear" w:color="000000" w:fill="BDD7EE"/>
            <w:noWrap/>
            <w:vAlign w:val="center"/>
            <w:hideMark/>
          </w:tcPr>
          <w:p w14:paraId="47CA395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852" w:type="dxa"/>
            <w:tcBorders>
              <w:top w:val="nil"/>
              <w:left w:val="nil"/>
              <w:bottom w:val="nil"/>
              <w:right w:val="single" w:sz="8" w:space="0" w:color="auto"/>
            </w:tcBorders>
            <w:shd w:val="clear" w:color="000000" w:fill="BDD7EE"/>
            <w:noWrap/>
            <w:vAlign w:val="center"/>
            <w:hideMark/>
          </w:tcPr>
          <w:p w14:paraId="3407D6F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850" w:type="dxa"/>
            <w:tcBorders>
              <w:top w:val="nil"/>
              <w:left w:val="nil"/>
              <w:bottom w:val="nil"/>
              <w:right w:val="single" w:sz="8" w:space="0" w:color="auto"/>
            </w:tcBorders>
            <w:shd w:val="clear" w:color="000000" w:fill="BDD7EE"/>
            <w:vAlign w:val="center"/>
            <w:hideMark/>
          </w:tcPr>
          <w:p w14:paraId="2BCE995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866" w:type="dxa"/>
            <w:tcBorders>
              <w:top w:val="nil"/>
              <w:left w:val="nil"/>
              <w:bottom w:val="nil"/>
              <w:right w:val="single" w:sz="8" w:space="0" w:color="auto"/>
            </w:tcBorders>
            <w:shd w:val="clear" w:color="000000" w:fill="BDD7EE"/>
            <w:vAlign w:val="center"/>
            <w:hideMark/>
          </w:tcPr>
          <w:p w14:paraId="2FDCC598" w14:textId="5600267A"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r w:rsidRPr="00A467B6">
              <w:rPr>
                <w:rFonts w:ascii="Times New Roman" w:hAnsi="Times New Roman"/>
                <w:b/>
                <w:bCs/>
                <w:color w:val="000000"/>
                <w:sz w:val="18"/>
                <w:szCs w:val="18"/>
              </w:rPr>
              <w:t>0</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000000" w:fill="BDD7EE"/>
            <w:vAlign w:val="center"/>
            <w:hideMark/>
          </w:tcPr>
          <w:p w14:paraId="439513C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993" w:type="dxa"/>
            <w:tcBorders>
              <w:top w:val="nil"/>
              <w:left w:val="nil"/>
              <w:bottom w:val="nil"/>
              <w:right w:val="single" w:sz="8" w:space="0" w:color="auto"/>
            </w:tcBorders>
            <w:shd w:val="clear" w:color="000000" w:fill="BDD7EE"/>
            <w:vAlign w:val="center"/>
          </w:tcPr>
          <w:p w14:paraId="4924EF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10E487FF" w14:textId="77777777" w:rsidTr="00FB1D87">
        <w:trPr>
          <w:trHeight w:val="290"/>
        </w:trPr>
        <w:tc>
          <w:tcPr>
            <w:tcW w:w="1101" w:type="dxa"/>
            <w:tcBorders>
              <w:top w:val="nil"/>
              <w:left w:val="single" w:sz="8" w:space="0" w:color="auto"/>
              <w:bottom w:val="nil"/>
              <w:right w:val="single" w:sz="8" w:space="0" w:color="auto"/>
            </w:tcBorders>
            <w:shd w:val="clear" w:color="auto" w:fill="auto"/>
            <w:noWrap/>
            <w:vAlign w:val="center"/>
          </w:tcPr>
          <w:p w14:paraId="79215BF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Czechy</w:t>
            </w:r>
          </w:p>
        </w:tc>
        <w:tc>
          <w:tcPr>
            <w:tcW w:w="1134" w:type="dxa"/>
            <w:tcBorders>
              <w:top w:val="nil"/>
              <w:left w:val="nil"/>
              <w:bottom w:val="nil"/>
              <w:right w:val="nil"/>
            </w:tcBorders>
            <w:shd w:val="clear" w:color="auto" w:fill="auto"/>
            <w:noWrap/>
            <w:vAlign w:val="center"/>
          </w:tcPr>
          <w:p w14:paraId="0FD254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2,00</w:t>
            </w:r>
          </w:p>
        </w:tc>
        <w:tc>
          <w:tcPr>
            <w:tcW w:w="567" w:type="dxa"/>
            <w:tcBorders>
              <w:top w:val="nil"/>
              <w:left w:val="single" w:sz="8" w:space="0" w:color="auto"/>
              <w:bottom w:val="nil"/>
              <w:right w:val="single" w:sz="4" w:space="0" w:color="auto"/>
            </w:tcBorders>
            <w:shd w:val="clear" w:color="auto" w:fill="auto"/>
            <w:noWrap/>
            <w:vAlign w:val="center"/>
          </w:tcPr>
          <w:p w14:paraId="130EBAC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auto" w:fill="auto"/>
            <w:noWrap/>
            <w:vAlign w:val="center"/>
          </w:tcPr>
          <w:p w14:paraId="371FBD2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auto" w:fill="auto"/>
            <w:noWrap/>
            <w:vAlign w:val="center"/>
          </w:tcPr>
          <w:p w14:paraId="57A96E9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FFFFFF"/>
            <w:noWrap/>
            <w:vAlign w:val="center"/>
          </w:tcPr>
          <w:p w14:paraId="1A0491B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67" w:type="dxa"/>
            <w:tcBorders>
              <w:top w:val="nil"/>
              <w:left w:val="nil"/>
              <w:bottom w:val="nil"/>
              <w:right w:val="single" w:sz="4" w:space="0" w:color="auto"/>
            </w:tcBorders>
            <w:shd w:val="clear" w:color="auto" w:fill="auto"/>
            <w:noWrap/>
            <w:vAlign w:val="center"/>
          </w:tcPr>
          <w:p w14:paraId="3C57D54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8" w:space="0" w:color="auto"/>
            </w:tcBorders>
            <w:shd w:val="clear" w:color="auto" w:fill="auto"/>
            <w:noWrap/>
            <w:vAlign w:val="center"/>
          </w:tcPr>
          <w:p w14:paraId="109EDC6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17" w:type="dxa"/>
            <w:tcBorders>
              <w:top w:val="nil"/>
              <w:left w:val="nil"/>
              <w:bottom w:val="nil"/>
              <w:right w:val="single" w:sz="8" w:space="0" w:color="auto"/>
            </w:tcBorders>
            <w:shd w:val="clear" w:color="auto" w:fill="auto"/>
            <w:vAlign w:val="center"/>
          </w:tcPr>
          <w:p w14:paraId="397AA8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FFFFFF"/>
            <w:noWrap/>
            <w:vAlign w:val="center"/>
          </w:tcPr>
          <w:p w14:paraId="319EEFB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51" w:type="dxa"/>
            <w:tcBorders>
              <w:top w:val="nil"/>
              <w:left w:val="nil"/>
              <w:bottom w:val="nil"/>
              <w:right w:val="single" w:sz="4" w:space="0" w:color="auto"/>
            </w:tcBorders>
            <w:shd w:val="clear" w:color="auto" w:fill="auto"/>
            <w:noWrap/>
            <w:vAlign w:val="center"/>
          </w:tcPr>
          <w:p w14:paraId="3960438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2" w:type="dxa"/>
            <w:tcBorders>
              <w:top w:val="nil"/>
              <w:left w:val="nil"/>
              <w:bottom w:val="nil"/>
              <w:right w:val="single" w:sz="8" w:space="0" w:color="auto"/>
            </w:tcBorders>
            <w:shd w:val="clear" w:color="auto" w:fill="auto"/>
            <w:noWrap/>
            <w:vAlign w:val="center"/>
          </w:tcPr>
          <w:p w14:paraId="3D0BADB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50" w:type="dxa"/>
            <w:tcBorders>
              <w:top w:val="nil"/>
              <w:left w:val="nil"/>
              <w:bottom w:val="nil"/>
              <w:right w:val="single" w:sz="8" w:space="0" w:color="auto"/>
            </w:tcBorders>
            <w:shd w:val="clear" w:color="auto" w:fill="auto"/>
            <w:vAlign w:val="center"/>
          </w:tcPr>
          <w:p w14:paraId="04153D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66" w:type="dxa"/>
            <w:tcBorders>
              <w:top w:val="nil"/>
              <w:left w:val="nil"/>
              <w:bottom w:val="nil"/>
              <w:right w:val="single" w:sz="8" w:space="0" w:color="auto"/>
            </w:tcBorders>
            <w:shd w:val="clear" w:color="auto" w:fill="auto"/>
            <w:vAlign w:val="center"/>
          </w:tcPr>
          <w:p w14:paraId="3DD5B13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275" w:type="dxa"/>
            <w:tcBorders>
              <w:top w:val="nil"/>
              <w:left w:val="nil"/>
              <w:bottom w:val="nil"/>
              <w:right w:val="single" w:sz="8" w:space="0" w:color="auto"/>
            </w:tcBorders>
            <w:shd w:val="clear" w:color="auto" w:fill="auto"/>
            <w:vAlign w:val="center"/>
          </w:tcPr>
          <w:p w14:paraId="49FC493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993" w:type="dxa"/>
            <w:tcBorders>
              <w:top w:val="nil"/>
              <w:left w:val="nil"/>
              <w:bottom w:val="nil"/>
              <w:right w:val="single" w:sz="8" w:space="0" w:color="auto"/>
            </w:tcBorders>
            <w:vAlign w:val="center"/>
          </w:tcPr>
          <w:p w14:paraId="6E92CD8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2,0</w:t>
            </w:r>
          </w:p>
        </w:tc>
      </w:tr>
      <w:tr w:rsidR="00FB1D87" w:rsidRPr="009D29AB" w14:paraId="1DCB1E5D" w14:textId="77777777" w:rsidTr="00FB1D87">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2A41F92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Grecja</w:t>
            </w:r>
          </w:p>
        </w:tc>
        <w:tc>
          <w:tcPr>
            <w:tcW w:w="1134" w:type="dxa"/>
            <w:tcBorders>
              <w:top w:val="nil"/>
              <w:left w:val="nil"/>
              <w:bottom w:val="nil"/>
              <w:right w:val="nil"/>
            </w:tcBorders>
            <w:shd w:val="clear" w:color="000000" w:fill="BDD7EE"/>
            <w:noWrap/>
            <w:vAlign w:val="center"/>
          </w:tcPr>
          <w:p w14:paraId="4000643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2,73</w:t>
            </w:r>
          </w:p>
        </w:tc>
        <w:tc>
          <w:tcPr>
            <w:tcW w:w="567" w:type="dxa"/>
            <w:tcBorders>
              <w:top w:val="nil"/>
              <w:left w:val="single" w:sz="8" w:space="0" w:color="auto"/>
              <w:bottom w:val="nil"/>
              <w:right w:val="single" w:sz="4" w:space="0" w:color="auto"/>
            </w:tcBorders>
            <w:shd w:val="clear" w:color="000000" w:fill="BDD7EE"/>
            <w:noWrap/>
            <w:vAlign w:val="center"/>
          </w:tcPr>
          <w:p w14:paraId="6A11BFB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45F5981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000000" w:fill="BDD7EE"/>
            <w:noWrap/>
            <w:vAlign w:val="center"/>
          </w:tcPr>
          <w:p w14:paraId="79D9844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28B549C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1,0</w:t>
            </w:r>
          </w:p>
        </w:tc>
        <w:tc>
          <w:tcPr>
            <w:tcW w:w="567" w:type="dxa"/>
            <w:tcBorders>
              <w:top w:val="nil"/>
              <w:left w:val="nil"/>
              <w:bottom w:val="nil"/>
              <w:right w:val="single" w:sz="4" w:space="0" w:color="auto"/>
            </w:tcBorders>
            <w:shd w:val="clear" w:color="000000" w:fill="BDD7EE"/>
            <w:noWrap/>
            <w:vAlign w:val="center"/>
          </w:tcPr>
          <w:p w14:paraId="4DDD106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851" w:type="dxa"/>
            <w:tcBorders>
              <w:top w:val="nil"/>
              <w:left w:val="nil"/>
              <w:bottom w:val="nil"/>
              <w:right w:val="single" w:sz="8" w:space="0" w:color="auto"/>
            </w:tcBorders>
            <w:shd w:val="clear" w:color="000000" w:fill="BDD7EE"/>
            <w:noWrap/>
            <w:vAlign w:val="center"/>
          </w:tcPr>
          <w:p w14:paraId="34CBB5A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2,0</w:t>
            </w:r>
          </w:p>
        </w:tc>
        <w:tc>
          <w:tcPr>
            <w:tcW w:w="1417" w:type="dxa"/>
            <w:tcBorders>
              <w:top w:val="nil"/>
              <w:left w:val="nil"/>
              <w:bottom w:val="nil"/>
              <w:right w:val="single" w:sz="8" w:space="0" w:color="auto"/>
            </w:tcBorders>
            <w:shd w:val="clear" w:color="000000" w:fill="BDD7EE"/>
            <w:vAlign w:val="center"/>
          </w:tcPr>
          <w:p w14:paraId="0603DC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5D385D82"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0,7</w:t>
            </w:r>
          </w:p>
        </w:tc>
        <w:tc>
          <w:tcPr>
            <w:tcW w:w="551" w:type="dxa"/>
            <w:tcBorders>
              <w:top w:val="nil"/>
              <w:left w:val="nil"/>
              <w:bottom w:val="nil"/>
              <w:right w:val="single" w:sz="4" w:space="0" w:color="auto"/>
            </w:tcBorders>
            <w:shd w:val="clear" w:color="000000" w:fill="BDD7EE"/>
            <w:noWrap/>
            <w:vAlign w:val="center"/>
          </w:tcPr>
          <w:p w14:paraId="5668211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2" w:type="dxa"/>
            <w:tcBorders>
              <w:top w:val="nil"/>
              <w:left w:val="nil"/>
              <w:bottom w:val="nil"/>
              <w:right w:val="single" w:sz="8" w:space="0" w:color="auto"/>
            </w:tcBorders>
            <w:shd w:val="clear" w:color="000000" w:fill="BDD7EE"/>
            <w:noWrap/>
            <w:vAlign w:val="center"/>
          </w:tcPr>
          <w:p w14:paraId="73C93EA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0,7</w:t>
            </w:r>
          </w:p>
        </w:tc>
        <w:tc>
          <w:tcPr>
            <w:tcW w:w="850" w:type="dxa"/>
            <w:tcBorders>
              <w:top w:val="nil"/>
              <w:left w:val="nil"/>
              <w:bottom w:val="nil"/>
              <w:right w:val="single" w:sz="8" w:space="0" w:color="auto"/>
            </w:tcBorders>
            <w:shd w:val="clear" w:color="000000" w:fill="BDD7EE"/>
            <w:vAlign w:val="center"/>
          </w:tcPr>
          <w:p w14:paraId="0A7640D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2,7</w:t>
            </w:r>
          </w:p>
        </w:tc>
        <w:tc>
          <w:tcPr>
            <w:tcW w:w="866" w:type="dxa"/>
            <w:tcBorders>
              <w:top w:val="nil"/>
              <w:left w:val="nil"/>
              <w:bottom w:val="nil"/>
              <w:right w:val="single" w:sz="8" w:space="0" w:color="auto"/>
            </w:tcBorders>
            <w:shd w:val="clear" w:color="000000" w:fill="BDD7EE"/>
            <w:vAlign w:val="center"/>
          </w:tcPr>
          <w:p w14:paraId="75A2A21D" w14:textId="1046CA52"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r w:rsidRPr="00A467B6">
              <w:rPr>
                <w:rFonts w:ascii="Times New Roman" w:hAnsi="Times New Roman"/>
                <w:b/>
                <w:bCs/>
                <w:color w:val="000000"/>
                <w:sz w:val="18"/>
                <w:szCs w:val="18"/>
              </w:rPr>
              <w:t>0</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000000" w:fill="BDD7EE"/>
            <w:vAlign w:val="center"/>
          </w:tcPr>
          <w:p w14:paraId="7B3238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993" w:type="dxa"/>
            <w:tcBorders>
              <w:top w:val="nil"/>
              <w:left w:val="nil"/>
              <w:bottom w:val="nil"/>
              <w:right w:val="single" w:sz="8" w:space="0" w:color="auto"/>
            </w:tcBorders>
            <w:shd w:val="clear" w:color="000000" w:fill="BDD7EE"/>
            <w:vAlign w:val="center"/>
          </w:tcPr>
          <w:p w14:paraId="50A324E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0C628E0C" w14:textId="77777777" w:rsidTr="00FB1D87">
        <w:trPr>
          <w:trHeight w:val="290"/>
        </w:trPr>
        <w:tc>
          <w:tcPr>
            <w:tcW w:w="1101" w:type="dxa"/>
            <w:tcBorders>
              <w:top w:val="nil"/>
              <w:left w:val="single" w:sz="8" w:space="0" w:color="auto"/>
              <w:bottom w:val="nil"/>
              <w:right w:val="single" w:sz="8" w:space="0" w:color="auto"/>
            </w:tcBorders>
            <w:shd w:val="clear" w:color="auto" w:fill="auto"/>
            <w:noWrap/>
            <w:vAlign w:val="center"/>
          </w:tcPr>
          <w:p w14:paraId="14589FF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Hiszpania</w:t>
            </w:r>
          </w:p>
        </w:tc>
        <w:tc>
          <w:tcPr>
            <w:tcW w:w="1134" w:type="dxa"/>
            <w:tcBorders>
              <w:top w:val="nil"/>
              <w:left w:val="nil"/>
              <w:bottom w:val="nil"/>
              <w:right w:val="nil"/>
            </w:tcBorders>
            <w:shd w:val="clear" w:color="auto" w:fill="auto"/>
            <w:noWrap/>
            <w:vAlign w:val="center"/>
          </w:tcPr>
          <w:p w14:paraId="26FD99D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21,32</w:t>
            </w:r>
          </w:p>
        </w:tc>
        <w:tc>
          <w:tcPr>
            <w:tcW w:w="567" w:type="dxa"/>
            <w:tcBorders>
              <w:top w:val="nil"/>
              <w:left w:val="single" w:sz="8" w:space="0" w:color="auto"/>
              <w:bottom w:val="nil"/>
              <w:right w:val="single" w:sz="4" w:space="0" w:color="auto"/>
            </w:tcBorders>
            <w:shd w:val="clear" w:color="auto" w:fill="auto"/>
            <w:noWrap/>
            <w:vAlign w:val="center"/>
          </w:tcPr>
          <w:p w14:paraId="6A031E5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3,5</w:t>
            </w:r>
          </w:p>
        </w:tc>
        <w:tc>
          <w:tcPr>
            <w:tcW w:w="567" w:type="dxa"/>
            <w:tcBorders>
              <w:top w:val="nil"/>
              <w:left w:val="nil"/>
              <w:bottom w:val="nil"/>
              <w:right w:val="single" w:sz="4" w:space="0" w:color="auto"/>
            </w:tcBorders>
            <w:shd w:val="clear" w:color="auto" w:fill="auto"/>
            <w:noWrap/>
            <w:vAlign w:val="center"/>
          </w:tcPr>
          <w:p w14:paraId="14B02F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c>
          <w:tcPr>
            <w:tcW w:w="850" w:type="dxa"/>
            <w:tcBorders>
              <w:top w:val="nil"/>
              <w:left w:val="nil"/>
              <w:bottom w:val="nil"/>
              <w:right w:val="single" w:sz="8" w:space="0" w:color="auto"/>
            </w:tcBorders>
            <w:shd w:val="clear" w:color="auto" w:fill="auto"/>
            <w:noWrap/>
            <w:vAlign w:val="center"/>
          </w:tcPr>
          <w:p w14:paraId="46153C3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6,0</w:t>
            </w:r>
          </w:p>
        </w:tc>
        <w:tc>
          <w:tcPr>
            <w:tcW w:w="567" w:type="dxa"/>
            <w:tcBorders>
              <w:top w:val="nil"/>
              <w:left w:val="nil"/>
              <w:bottom w:val="nil"/>
              <w:right w:val="single" w:sz="4" w:space="0" w:color="auto"/>
            </w:tcBorders>
            <w:shd w:val="clear" w:color="000000" w:fill="FFFFFF"/>
            <w:noWrap/>
            <w:vAlign w:val="center"/>
          </w:tcPr>
          <w:p w14:paraId="37B36CAF"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2,9</w:t>
            </w:r>
          </w:p>
        </w:tc>
        <w:tc>
          <w:tcPr>
            <w:tcW w:w="567" w:type="dxa"/>
            <w:tcBorders>
              <w:top w:val="nil"/>
              <w:left w:val="nil"/>
              <w:bottom w:val="nil"/>
              <w:right w:val="single" w:sz="4" w:space="0" w:color="auto"/>
            </w:tcBorders>
            <w:shd w:val="clear" w:color="auto" w:fill="auto"/>
            <w:noWrap/>
            <w:vAlign w:val="center"/>
          </w:tcPr>
          <w:p w14:paraId="795D4E9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1,2</w:t>
            </w:r>
          </w:p>
        </w:tc>
        <w:tc>
          <w:tcPr>
            <w:tcW w:w="851" w:type="dxa"/>
            <w:tcBorders>
              <w:top w:val="nil"/>
              <w:left w:val="nil"/>
              <w:bottom w:val="nil"/>
              <w:right w:val="single" w:sz="8" w:space="0" w:color="auto"/>
            </w:tcBorders>
            <w:shd w:val="clear" w:color="auto" w:fill="auto"/>
            <w:noWrap/>
            <w:vAlign w:val="center"/>
          </w:tcPr>
          <w:p w14:paraId="0B9CC8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4,0</w:t>
            </w:r>
          </w:p>
        </w:tc>
        <w:tc>
          <w:tcPr>
            <w:tcW w:w="1417" w:type="dxa"/>
            <w:tcBorders>
              <w:top w:val="nil"/>
              <w:left w:val="nil"/>
              <w:bottom w:val="nil"/>
              <w:right w:val="single" w:sz="8" w:space="0" w:color="auto"/>
            </w:tcBorders>
            <w:shd w:val="clear" w:color="auto" w:fill="auto"/>
            <w:vAlign w:val="center"/>
          </w:tcPr>
          <w:p w14:paraId="18C89C6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FFFFFF"/>
            <w:noWrap/>
            <w:vAlign w:val="center"/>
          </w:tcPr>
          <w:p w14:paraId="6324064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51" w:type="dxa"/>
            <w:tcBorders>
              <w:top w:val="nil"/>
              <w:left w:val="nil"/>
              <w:bottom w:val="nil"/>
              <w:right w:val="single" w:sz="4" w:space="0" w:color="auto"/>
            </w:tcBorders>
            <w:shd w:val="clear" w:color="auto" w:fill="auto"/>
            <w:noWrap/>
            <w:vAlign w:val="center"/>
          </w:tcPr>
          <w:p w14:paraId="7812F31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852" w:type="dxa"/>
            <w:tcBorders>
              <w:top w:val="nil"/>
              <w:left w:val="nil"/>
              <w:bottom w:val="nil"/>
              <w:right w:val="single" w:sz="8" w:space="0" w:color="auto"/>
            </w:tcBorders>
            <w:shd w:val="clear" w:color="auto" w:fill="auto"/>
            <w:noWrap/>
            <w:vAlign w:val="center"/>
          </w:tcPr>
          <w:p w14:paraId="0A03C2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p>
        </w:tc>
        <w:tc>
          <w:tcPr>
            <w:tcW w:w="850" w:type="dxa"/>
            <w:tcBorders>
              <w:top w:val="nil"/>
              <w:left w:val="nil"/>
              <w:bottom w:val="nil"/>
              <w:right w:val="single" w:sz="8" w:space="0" w:color="auto"/>
            </w:tcBorders>
            <w:shd w:val="clear" w:color="auto" w:fill="auto"/>
            <w:vAlign w:val="center"/>
          </w:tcPr>
          <w:p w14:paraId="4D447F4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11,0</w:t>
            </w:r>
          </w:p>
        </w:tc>
        <w:tc>
          <w:tcPr>
            <w:tcW w:w="866" w:type="dxa"/>
            <w:tcBorders>
              <w:top w:val="nil"/>
              <w:left w:val="nil"/>
              <w:bottom w:val="nil"/>
              <w:right w:val="single" w:sz="8" w:space="0" w:color="auto"/>
            </w:tcBorders>
            <w:shd w:val="clear" w:color="auto" w:fill="auto"/>
            <w:vAlign w:val="center"/>
          </w:tcPr>
          <w:p w14:paraId="57D33BDA" w14:textId="6A07DE85"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w:t>
            </w:r>
            <w:r w:rsidRPr="00A467B6">
              <w:rPr>
                <w:rFonts w:ascii="Times New Roman" w:hAnsi="Times New Roman"/>
                <w:b/>
                <w:bCs/>
                <w:color w:val="000000"/>
                <w:sz w:val="18"/>
                <w:szCs w:val="18"/>
              </w:rPr>
              <w:t>2</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auto" w:fill="auto"/>
            <w:vAlign w:val="center"/>
          </w:tcPr>
          <w:p w14:paraId="5DAC067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993" w:type="dxa"/>
            <w:tcBorders>
              <w:top w:val="nil"/>
              <w:left w:val="nil"/>
              <w:bottom w:val="nil"/>
              <w:right w:val="single" w:sz="8" w:space="0" w:color="auto"/>
            </w:tcBorders>
            <w:vAlign w:val="center"/>
          </w:tcPr>
          <w:p w14:paraId="2B80EF2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10,3</w:t>
            </w:r>
          </w:p>
        </w:tc>
      </w:tr>
      <w:tr w:rsidR="00FB1D87" w:rsidRPr="009D29AB" w14:paraId="0EAAA1D1" w14:textId="77777777" w:rsidTr="00FB1D87">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3BF019A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Chorwacja</w:t>
            </w:r>
          </w:p>
        </w:tc>
        <w:tc>
          <w:tcPr>
            <w:tcW w:w="1134" w:type="dxa"/>
            <w:tcBorders>
              <w:top w:val="nil"/>
              <w:left w:val="nil"/>
              <w:bottom w:val="nil"/>
              <w:right w:val="nil"/>
            </w:tcBorders>
            <w:shd w:val="clear" w:color="000000" w:fill="BDD7EE"/>
            <w:noWrap/>
            <w:vAlign w:val="center"/>
          </w:tcPr>
          <w:p w14:paraId="05151DD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1,02</w:t>
            </w:r>
          </w:p>
        </w:tc>
        <w:tc>
          <w:tcPr>
            <w:tcW w:w="567" w:type="dxa"/>
            <w:tcBorders>
              <w:top w:val="nil"/>
              <w:left w:val="single" w:sz="8" w:space="0" w:color="auto"/>
              <w:bottom w:val="nil"/>
              <w:right w:val="single" w:sz="4" w:space="0" w:color="auto"/>
            </w:tcBorders>
            <w:shd w:val="clear" w:color="000000" w:fill="BDD7EE"/>
            <w:noWrap/>
            <w:vAlign w:val="center"/>
          </w:tcPr>
          <w:p w14:paraId="1625C85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4282D31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000000" w:fill="BDD7EE"/>
            <w:noWrap/>
            <w:vAlign w:val="center"/>
          </w:tcPr>
          <w:p w14:paraId="2FEA243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447CA85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0,3</w:t>
            </w:r>
          </w:p>
        </w:tc>
        <w:tc>
          <w:tcPr>
            <w:tcW w:w="567" w:type="dxa"/>
            <w:tcBorders>
              <w:top w:val="nil"/>
              <w:left w:val="nil"/>
              <w:bottom w:val="nil"/>
              <w:right w:val="single" w:sz="4" w:space="0" w:color="auto"/>
            </w:tcBorders>
            <w:shd w:val="clear" w:color="000000" w:fill="BDD7EE"/>
            <w:noWrap/>
            <w:vAlign w:val="center"/>
          </w:tcPr>
          <w:p w14:paraId="7D53520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0,2</w:t>
            </w:r>
          </w:p>
        </w:tc>
        <w:tc>
          <w:tcPr>
            <w:tcW w:w="851" w:type="dxa"/>
            <w:tcBorders>
              <w:top w:val="nil"/>
              <w:left w:val="nil"/>
              <w:bottom w:val="nil"/>
              <w:right w:val="single" w:sz="8" w:space="0" w:color="auto"/>
            </w:tcBorders>
            <w:shd w:val="clear" w:color="000000" w:fill="BDD7EE"/>
            <w:noWrap/>
            <w:vAlign w:val="center"/>
          </w:tcPr>
          <w:p w14:paraId="007E750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1417" w:type="dxa"/>
            <w:tcBorders>
              <w:top w:val="nil"/>
              <w:left w:val="nil"/>
              <w:bottom w:val="nil"/>
              <w:right w:val="single" w:sz="8" w:space="0" w:color="auto"/>
            </w:tcBorders>
            <w:shd w:val="clear" w:color="000000" w:fill="BDD7EE"/>
            <w:vAlign w:val="center"/>
          </w:tcPr>
          <w:p w14:paraId="0E5CD7C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1ACEAA4A"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51" w:type="dxa"/>
            <w:tcBorders>
              <w:top w:val="nil"/>
              <w:left w:val="nil"/>
              <w:bottom w:val="nil"/>
              <w:right w:val="single" w:sz="4" w:space="0" w:color="auto"/>
            </w:tcBorders>
            <w:shd w:val="clear" w:color="000000" w:fill="BDD7EE"/>
            <w:noWrap/>
            <w:vAlign w:val="center"/>
          </w:tcPr>
          <w:p w14:paraId="0567925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852" w:type="dxa"/>
            <w:tcBorders>
              <w:top w:val="nil"/>
              <w:left w:val="nil"/>
              <w:bottom w:val="nil"/>
              <w:right w:val="single" w:sz="8" w:space="0" w:color="auto"/>
            </w:tcBorders>
            <w:shd w:val="clear" w:color="000000" w:fill="BDD7EE"/>
            <w:noWrap/>
            <w:vAlign w:val="center"/>
          </w:tcPr>
          <w:p w14:paraId="7164FCCF"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850" w:type="dxa"/>
            <w:tcBorders>
              <w:top w:val="nil"/>
              <w:left w:val="nil"/>
              <w:bottom w:val="nil"/>
              <w:right w:val="single" w:sz="8" w:space="0" w:color="auto"/>
            </w:tcBorders>
            <w:shd w:val="clear" w:color="000000" w:fill="BDD7EE"/>
            <w:vAlign w:val="center"/>
          </w:tcPr>
          <w:p w14:paraId="4A438F6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866" w:type="dxa"/>
            <w:tcBorders>
              <w:top w:val="nil"/>
              <w:left w:val="nil"/>
              <w:bottom w:val="nil"/>
              <w:right w:val="single" w:sz="8" w:space="0" w:color="auto"/>
            </w:tcBorders>
            <w:shd w:val="clear" w:color="000000" w:fill="BDD7EE"/>
            <w:vAlign w:val="center"/>
          </w:tcPr>
          <w:p w14:paraId="1CE1C1A2" w14:textId="0670D2AE"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w:t>
            </w:r>
            <w:r w:rsidRPr="00A467B6">
              <w:rPr>
                <w:rFonts w:ascii="Times New Roman" w:hAnsi="Times New Roman"/>
                <w:b/>
                <w:bCs/>
                <w:color w:val="000000"/>
                <w:sz w:val="18"/>
                <w:szCs w:val="18"/>
              </w:rPr>
              <w:t>0</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000000" w:fill="BDD7EE"/>
            <w:vAlign w:val="center"/>
          </w:tcPr>
          <w:p w14:paraId="1BCE1B7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993" w:type="dxa"/>
            <w:tcBorders>
              <w:top w:val="nil"/>
              <w:left w:val="nil"/>
              <w:bottom w:val="nil"/>
              <w:right w:val="single" w:sz="8" w:space="0" w:color="auto"/>
            </w:tcBorders>
            <w:shd w:val="clear" w:color="000000" w:fill="BDD7EE"/>
            <w:vAlign w:val="center"/>
          </w:tcPr>
          <w:p w14:paraId="4CFFDC1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0,5</w:t>
            </w:r>
          </w:p>
        </w:tc>
      </w:tr>
      <w:tr w:rsidR="009D29AB" w:rsidRPr="009D29AB" w14:paraId="1A4DC716" w14:textId="77777777" w:rsidTr="00FB1D87">
        <w:trPr>
          <w:trHeight w:val="290"/>
        </w:trPr>
        <w:tc>
          <w:tcPr>
            <w:tcW w:w="1101" w:type="dxa"/>
            <w:tcBorders>
              <w:top w:val="nil"/>
              <w:left w:val="single" w:sz="8" w:space="0" w:color="auto"/>
              <w:bottom w:val="nil"/>
              <w:right w:val="single" w:sz="8" w:space="0" w:color="auto"/>
            </w:tcBorders>
            <w:shd w:val="clear" w:color="auto" w:fill="auto"/>
            <w:noWrap/>
            <w:vAlign w:val="center"/>
          </w:tcPr>
          <w:p w14:paraId="430E8B65"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Węgry</w:t>
            </w:r>
          </w:p>
        </w:tc>
        <w:tc>
          <w:tcPr>
            <w:tcW w:w="1134" w:type="dxa"/>
            <w:tcBorders>
              <w:top w:val="nil"/>
              <w:left w:val="nil"/>
              <w:bottom w:val="nil"/>
              <w:right w:val="nil"/>
            </w:tcBorders>
            <w:shd w:val="clear" w:color="auto" w:fill="auto"/>
            <w:noWrap/>
            <w:vAlign w:val="center"/>
          </w:tcPr>
          <w:p w14:paraId="20066B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0,50</w:t>
            </w:r>
          </w:p>
        </w:tc>
        <w:tc>
          <w:tcPr>
            <w:tcW w:w="567" w:type="dxa"/>
            <w:tcBorders>
              <w:top w:val="nil"/>
              <w:left w:val="single" w:sz="8" w:space="0" w:color="auto"/>
              <w:bottom w:val="nil"/>
              <w:right w:val="single" w:sz="4" w:space="0" w:color="auto"/>
            </w:tcBorders>
            <w:shd w:val="clear" w:color="auto" w:fill="auto"/>
            <w:noWrap/>
            <w:vAlign w:val="center"/>
          </w:tcPr>
          <w:p w14:paraId="31599DA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auto" w:fill="auto"/>
            <w:noWrap/>
            <w:vAlign w:val="center"/>
          </w:tcPr>
          <w:p w14:paraId="5600D7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auto" w:fill="auto"/>
            <w:noWrap/>
            <w:vAlign w:val="center"/>
          </w:tcPr>
          <w:p w14:paraId="79692A1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FFFFFF"/>
            <w:noWrap/>
            <w:vAlign w:val="center"/>
          </w:tcPr>
          <w:p w14:paraId="527FAF22"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67" w:type="dxa"/>
            <w:tcBorders>
              <w:top w:val="nil"/>
              <w:left w:val="nil"/>
              <w:bottom w:val="nil"/>
              <w:right w:val="single" w:sz="4" w:space="0" w:color="auto"/>
            </w:tcBorders>
            <w:shd w:val="clear" w:color="auto" w:fill="auto"/>
            <w:noWrap/>
            <w:vAlign w:val="center"/>
          </w:tcPr>
          <w:p w14:paraId="076E86F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8" w:space="0" w:color="auto"/>
            </w:tcBorders>
            <w:shd w:val="clear" w:color="auto" w:fill="auto"/>
            <w:noWrap/>
            <w:vAlign w:val="center"/>
          </w:tcPr>
          <w:p w14:paraId="363D775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17" w:type="dxa"/>
            <w:tcBorders>
              <w:top w:val="nil"/>
              <w:left w:val="nil"/>
              <w:bottom w:val="nil"/>
              <w:right w:val="single" w:sz="8" w:space="0" w:color="auto"/>
            </w:tcBorders>
            <w:shd w:val="clear" w:color="auto" w:fill="auto"/>
            <w:vAlign w:val="center"/>
          </w:tcPr>
          <w:p w14:paraId="6F193AB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567" w:type="dxa"/>
            <w:tcBorders>
              <w:top w:val="nil"/>
              <w:left w:val="nil"/>
              <w:bottom w:val="nil"/>
              <w:right w:val="single" w:sz="4" w:space="0" w:color="auto"/>
            </w:tcBorders>
            <w:shd w:val="clear" w:color="000000" w:fill="FFFFFF"/>
            <w:noWrap/>
            <w:vAlign w:val="center"/>
          </w:tcPr>
          <w:p w14:paraId="35EEA26D"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551" w:type="dxa"/>
            <w:tcBorders>
              <w:top w:val="nil"/>
              <w:left w:val="nil"/>
              <w:bottom w:val="nil"/>
              <w:right w:val="single" w:sz="4" w:space="0" w:color="auto"/>
            </w:tcBorders>
            <w:shd w:val="clear" w:color="auto" w:fill="auto"/>
            <w:noWrap/>
            <w:vAlign w:val="center"/>
          </w:tcPr>
          <w:p w14:paraId="1ED9F3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852" w:type="dxa"/>
            <w:tcBorders>
              <w:top w:val="nil"/>
              <w:left w:val="nil"/>
              <w:bottom w:val="nil"/>
              <w:right w:val="single" w:sz="8" w:space="0" w:color="auto"/>
            </w:tcBorders>
            <w:shd w:val="clear" w:color="auto" w:fill="auto"/>
            <w:noWrap/>
            <w:vAlign w:val="center"/>
          </w:tcPr>
          <w:p w14:paraId="2A61852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0,3</w:t>
            </w:r>
          </w:p>
        </w:tc>
        <w:tc>
          <w:tcPr>
            <w:tcW w:w="850" w:type="dxa"/>
            <w:tcBorders>
              <w:top w:val="nil"/>
              <w:left w:val="nil"/>
              <w:bottom w:val="nil"/>
              <w:right w:val="single" w:sz="8" w:space="0" w:color="auto"/>
            </w:tcBorders>
            <w:shd w:val="clear" w:color="auto" w:fill="auto"/>
            <w:vAlign w:val="center"/>
          </w:tcPr>
          <w:p w14:paraId="7A3CDDB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0,5</w:t>
            </w:r>
          </w:p>
        </w:tc>
        <w:tc>
          <w:tcPr>
            <w:tcW w:w="866" w:type="dxa"/>
            <w:tcBorders>
              <w:top w:val="nil"/>
              <w:left w:val="nil"/>
              <w:bottom w:val="nil"/>
              <w:right w:val="single" w:sz="8" w:space="0" w:color="auto"/>
            </w:tcBorders>
            <w:shd w:val="clear" w:color="auto" w:fill="auto"/>
            <w:vAlign w:val="center"/>
          </w:tcPr>
          <w:p w14:paraId="0C136F95" w14:textId="3FE9F100"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r w:rsidRPr="00A467B6">
              <w:rPr>
                <w:rFonts w:ascii="Times New Roman" w:hAnsi="Times New Roman"/>
                <w:b/>
                <w:bCs/>
                <w:color w:val="000000"/>
                <w:sz w:val="18"/>
                <w:szCs w:val="18"/>
              </w:rPr>
              <w:t>0</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auto" w:fill="auto"/>
            <w:vAlign w:val="center"/>
          </w:tcPr>
          <w:p w14:paraId="60AC6B6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14,7</w:t>
            </w:r>
          </w:p>
        </w:tc>
        <w:tc>
          <w:tcPr>
            <w:tcW w:w="993" w:type="dxa"/>
            <w:tcBorders>
              <w:top w:val="nil"/>
              <w:left w:val="nil"/>
              <w:bottom w:val="nil"/>
              <w:right w:val="single" w:sz="8" w:space="0" w:color="auto"/>
            </w:tcBorders>
            <w:vAlign w:val="center"/>
          </w:tcPr>
          <w:p w14:paraId="51A0A10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FB1D87" w:rsidRPr="009D29AB" w14:paraId="49D306A3" w14:textId="77777777" w:rsidTr="00FB1D87">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34DB460C"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Irlandia</w:t>
            </w:r>
          </w:p>
        </w:tc>
        <w:tc>
          <w:tcPr>
            <w:tcW w:w="1134" w:type="dxa"/>
            <w:tcBorders>
              <w:top w:val="nil"/>
              <w:left w:val="nil"/>
              <w:bottom w:val="nil"/>
              <w:right w:val="nil"/>
            </w:tcBorders>
            <w:shd w:val="clear" w:color="000000" w:fill="BDD7EE"/>
            <w:noWrap/>
            <w:vAlign w:val="center"/>
          </w:tcPr>
          <w:p w14:paraId="5B1B16E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2,47</w:t>
            </w:r>
          </w:p>
        </w:tc>
        <w:tc>
          <w:tcPr>
            <w:tcW w:w="567" w:type="dxa"/>
            <w:tcBorders>
              <w:top w:val="nil"/>
              <w:left w:val="single" w:sz="8" w:space="0" w:color="auto"/>
              <w:bottom w:val="nil"/>
              <w:right w:val="single" w:sz="4" w:space="0" w:color="auto"/>
            </w:tcBorders>
            <w:shd w:val="clear" w:color="000000" w:fill="BDD7EE"/>
            <w:noWrap/>
            <w:vAlign w:val="center"/>
          </w:tcPr>
          <w:p w14:paraId="394A358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6EF4F3F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000000" w:fill="BDD7EE"/>
            <w:noWrap/>
            <w:vAlign w:val="center"/>
          </w:tcPr>
          <w:p w14:paraId="4640B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3D0E9A9E"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67" w:type="dxa"/>
            <w:tcBorders>
              <w:top w:val="nil"/>
              <w:left w:val="nil"/>
              <w:bottom w:val="nil"/>
              <w:right w:val="single" w:sz="4" w:space="0" w:color="auto"/>
            </w:tcBorders>
            <w:shd w:val="clear" w:color="000000" w:fill="BDD7EE"/>
            <w:noWrap/>
            <w:vAlign w:val="center"/>
          </w:tcPr>
          <w:p w14:paraId="744E84D9"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851" w:type="dxa"/>
            <w:tcBorders>
              <w:top w:val="nil"/>
              <w:left w:val="nil"/>
              <w:bottom w:val="nil"/>
              <w:right w:val="single" w:sz="8" w:space="0" w:color="auto"/>
            </w:tcBorders>
            <w:shd w:val="clear" w:color="000000" w:fill="BDD7EE"/>
            <w:noWrap/>
            <w:vAlign w:val="center"/>
          </w:tcPr>
          <w:p w14:paraId="034B76CA"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17" w:type="dxa"/>
            <w:tcBorders>
              <w:top w:val="nil"/>
              <w:left w:val="nil"/>
              <w:bottom w:val="nil"/>
              <w:right w:val="single" w:sz="8" w:space="0" w:color="auto"/>
            </w:tcBorders>
            <w:shd w:val="clear" w:color="000000" w:fill="BDD7EE"/>
            <w:vAlign w:val="center"/>
          </w:tcPr>
          <w:p w14:paraId="0118E3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32EBB1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51" w:type="dxa"/>
            <w:tcBorders>
              <w:top w:val="nil"/>
              <w:left w:val="nil"/>
              <w:bottom w:val="nil"/>
              <w:right w:val="single" w:sz="4" w:space="0" w:color="auto"/>
            </w:tcBorders>
            <w:shd w:val="clear" w:color="000000" w:fill="BDD7EE"/>
            <w:noWrap/>
            <w:vAlign w:val="center"/>
          </w:tcPr>
          <w:p w14:paraId="16F5BB95"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852" w:type="dxa"/>
            <w:tcBorders>
              <w:top w:val="nil"/>
              <w:left w:val="nil"/>
              <w:bottom w:val="nil"/>
              <w:right w:val="single" w:sz="8" w:space="0" w:color="auto"/>
            </w:tcBorders>
            <w:shd w:val="clear" w:color="000000" w:fill="BDD7EE"/>
            <w:noWrap/>
            <w:vAlign w:val="center"/>
          </w:tcPr>
          <w:p w14:paraId="6C2A0FF7"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850" w:type="dxa"/>
            <w:tcBorders>
              <w:top w:val="nil"/>
              <w:left w:val="nil"/>
              <w:bottom w:val="nil"/>
              <w:right w:val="single" w:sz="8" w:space="0" w:color="auto"/>
            </w:tcBorders>
            <w:shd w:val="clear" w:color="000000" w:fill="BDD7EE"/>
            <w:vAlign w:val="center"/>
          </w:tcPr>
          <w:p w14:paraId="24B36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866" w:type="dxa"/>
            <w:tcBorders>
              <w:top w:val="nil"/>
              <w:left w:val="nil"/>
              <w:bottom w:val="nil"/>
              <w:right w:val="single" w:sz="8" w:space="0" w:color="auto"/>
            </w:tcBorders>
            <w:shd w:val="clear" w:color="000000" w:fill="BDD7EE"/>
            <w:vAlign w:val="center"/>
          </w:tcPr>
          <w:p w14:paraId="12979FA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275" w:type="dxa"/>
            <w:tcBorders>
              <w:top w:val="nil"/>
              <w:left w:val="nil"/>
              <w:bottom w:val="nil"/>
              <w:right w:val="single" w:sz="8" w:space="0" w:color="auto"/>
            </w:tcBorders>
            <w:shd w:val="clear" w:color="000000" w:fill="BDD7EE"/>
            <w:vAlign w:val="center"/>
          </w:tcPr>
          <w:p w14:paraId="5DD5811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993" w:type="dxa"/>
            <w:tcBorders>
              <w:top w:val="nil"/>
              <w:left w:val="nil"/>
              <w:bottom w:val="nil"/>
              <w:right w:val="single" w:sz="8" w:space="0" w:color="auto"/>
            </w:tcBorders>
            <w:shd w:val="clear" w:color="000000" w:fill="BDD7EE"/>
            <w:vAlign w:val="center"/>
          </w:tcPr>
          <w:p w14:paraId="62C5657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2,5</w:t>
            </w:r>
          </w:p>
        </w:tc>
      </w:tr>
      <w:tr w:rsidR="009D29AB" w:rsidRPr="009D29AB" w14:paraId="74EDF02E" w14:textId="77777777" w:rsidTr="00FB1D87">
        <w:trPr>
          <w:trHeight w:val="290"/>
        </w:trPr>
        <w:tc>
          <w:tcPr>
            <w:tcW w:w="1101" w:type="dxa"/>
            <w:tcBorders>
              <w:top w:val="nil"/>
              <w:left w:val="single" w:sz="8" w:space="0" w:color="auto"/>
              <w:bottom w:val="nil"/>
              <w:right w:val="single" w:sz="8" w:space="0" w:color="auto"/>
            </w:tcBorders>
            <w:shd w:val="clear" w:color="auto" w:fill="auto"/>
            <w:noWrap/>
            <w:vAlign w:val="center"/>
          </w:tcPr>
          <w:p w14:paraId="3FB264B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Włochy</w:t>
            </w:r>
          </w:p>
        </w:tc>
        <w:tc>
          <w:tcPr>
            <w:tcW w:w="1134" w:type="dxa"/>
            <w:tcBorders>
              <w:top w:val="nil"/>
              <w:left w:val="nil"/>
              <w:bottom w:val="nil"/>
              <w:right w:val="nil"/>
            </w:tcBorders>
            <w:shd w:val="clear" w:color="auto" w:fill="auto"/>
            <w:noWrap/>
            <w:vAlign w:val="center"/>
          </w:tcPr>
          <w:p w14:paraId="39CEC7F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27,44</w:t>
            </w:r>
          </w:p>
        </w:tc>
        <w:tc>
          <w:tcPr>
            <w:tcW w:w="567" w:type="dxa"/>
            <w:tcBorders>
              <w:top w:val="nil"/>
              <w:left w:val="single" w:sz="8" w:space="0" w:color="auto"/>
              <w:bottom w:val="nil"/>
              <w:right w:val="single" w:sz="4" w:space="0" w:color="auto"/>
            </w:tcBorders>
            <w:shd w:val="clear" w:color="auto" w:fill="auto"/>
            <w:noWrap/>
            <w:vAlign w:val="center"/>
          </w:tcPr>
          <w:p w14:paraId="4CD99EB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5,5</w:t>
            </w:r>
          </w:p>
        </w:tc>
        <w:tc>
          <w:tcPr>
            <w:tcW w:w="567" w:type="dxa"/>
            <w:tcBorders>
              <w:top w:val="nil"/>
              <w:left w:val="nil"/>
              <w:bottom w:val="nil"/>
              <w:right w:val="single" w:sz="4" w:space="0" w:color="auto"/>
            </w:tcBorders>
            <w:shd w:val="clear" w:color="auto" w:fill="auto"/>
            <w:noWrap/>
            <w:vAlign w:val="center"/>
          </w:tcPr>
          <w:p w14:paraId="53AA28A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4,5</w:t>
            </w:r>
          </w:p>
        </w:tc>
        <w:tc>
          <w:tcPr>
            <w:tcW w:w="850" w:type="dxa"/>
            <w:tcBorders>
              <w:top w:val="nil"/>
              <w:left w:val="nil"/>
              <w:bottom w:val="nil"/>
              <w:right w:val="single" w:sz="8" w:space="0" w:color="auto"/>
            </w:tcBorders>
            <w:shd w:val="clear" w:color="auto" w:fill="auto"/>
            <w:noWrap/>
            <w:vAlign w:val="center"/>
          </w:tcPr>
          <w:p w14:paraId="41E71AB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10,0</w:t>
            </w:r>
          </w:p>
        </w:tc>
        <w:tc>
          <w:tcPr>
            <w:tcW w:w="567" w:type="dxa"/>
            <w:tcBorders>
              <w:top w:val="nil"/>
              <w:left w:val="nil"/>
              <w:bottom w:val="nil"/>
              <w:right w:val="single" w:sz="4" w:space="0" w:color="auto"/>
            </w:tcBorders>
            <w:shd w:val="clear" w:color="auto" w:fill="auto"/>
            <w:noWrap/>
            <w:vAlign w:val="center"/>
          </w:tcPr>
          <w:p w14:paraId="59F7A15C"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3,1</w:t>
            </w:r>
          </w:p>
        </w:tc>
        <w:tc>
          <w:tcPr>
            <w:tcW w:w="567" w:type="dxa"/>
            <w:tcBorders>
              <w:top w:val="nil"/>
              <w:left w:val="nil"/>
              <w:bottom w:val="nil"/>
              <w:right w:val="single" w:sz="4" w:space="0" w:color="auto"/>
            </w:tcBorders>
            <w:shd w:val="clear" w:color="auto" w:fill="auto"/>
            <w:noWrap/>
            <w:vAlign w:val="center"/>
          </w:tcPr>
          <w:p w14:paraId="0BF634F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3,4</w:t>
            </w:r>
          </w:p>
        </w:tc>
        <w:tc>
          <w:tcPr>
            <w:tcW w:w="851" w:type="dxa"/>
            <w:tcBorders>
              <w:top w:val="nil"/>
              <w:left w:val="nil"/>
              <w:bottom w:val="nil"/>
              <w:right w:val="single" w:sz="8" w:space="0" w:color="auto"/>
            </w:tcBorders>
            <w:shd w:val="clear" w:color="auto" w:fill="auto"/>
            <w:noWrap/>
            <w:vAlign w:val="center"/>
          </w:tcPr>
          <w:p w14:paraId="7F59D85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6,5</w:t>
            </w:r>
          </w:p>
        </w:tc>
        <w:tc>
          <w:tcPr>
            <w:tcW w:w="1417" w:type="dxa"/>
            <w:tcBorders>
              <w:top w:val="nil"/>
              <w:left w:val="nil"/>
              <w:bottom w:val="nil"/>
              <w:right w:val="single" w:sz="8" w:space="0" w:color="auto"/>
            </w:tcBorders>
            <w:shd w:val="clear" w:color="auto" w:fill="auto"/>
            <w:vAlign w:val="center"/>
          </w:tcPr>
          <w:p w14:paraId="34CC824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auto" w:fill="auto"/>
            <w:noWrap/>
            <w:vAlign w:val="center"/>
          </w:tcPr>
          <w:p w14:paraId="24AFACF3"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4,5</w:t>
            </w:r>
          </w:p>
        </w:tc>
        <w:tc>
          <w:tcPr>
            <w:tcW w:w="551" w:type="dxa"/>
            <w:tcBorders>
              <w:top w:val="nil"/>
              <w:left w:val="nil"/>
              <w:bottom w:val="nil"/>
              <w:right w:val="single" w:sz="4" w:space="0" w:color="auto"/>
            </w:tcBorders>
            <w:shd w:val="clear" w:color="auto" w:fill="auto"/>
            <w:noWrap/>
            <w:vAlign w:val="center"/>
          </w:tcPr>
          <w:p w14:paraId="028AAC1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2" w:type="dxa"/>
            <w:tcBorders>
              <w:top w:val="nil"/>
              <w:left w:val="nil"/>
              <w:bottom w:val="nil"/>
              <w:right w:val="single" w:sz="8" w:space="0" w:color="auto"/>
            </w:tcBorders>
            <w:shd w:val="clear" w:color="auto" w:fill="auto"/>
            <w:noWrap/>
            <w:vAlign w:val="center"/>
          </w:tcPr>
          <w:p w14:paraId="1CF9931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4,5</w:t>
            </w:r>
          </w:p>
        </w:tc>
        <w:tc>
          <w:tcPr>
            <w:tcW w:w="850" w:type="dxa"/>
            <w:tcBorders>
              <w:top w:val="nil"/>
              <w:left w:val="nil"/>
              <w:bottom w:val="nil"/>
              <w:right w:val="single" w:sz="8" w:space="0" w:color="auto"/>
            </w:tcBorders>
            <w:shd w:val="clear" w:color="auto" w:fill="auto"/>
            <w:vAlign w:val="center"/>
          </w:tcPr>
          <w:p w14:paraId="2D8D19A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21,0</w:t>
            </w:r>
          </w:p>
        </w:tc>
        <w:tc>
          <w:tcPr>
            <w:tcW w:w="866" w:type="dxa"/>
            <w:tcBorders>
              <w:top w:val="nil"/>
              <w:left w:val="nil"/>
              <w:bottom w:val="nil"/>
              <w:right w:val="single" w:sz="8" w:space="0" w:color="auto"/>
            </w:tcBorders>
            <w:shd w:val="clear" w:color="auto" w:fill="auto"/>
            <w:vAlign w:val="center"/>
          </w:tcPr>
          <w:p w14:paraId="191CDD0E" w14:textId="0A58C6E9"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w:t>
            </w:r>
            <w:r w:rsidRPr="00A467B6">
              <w:rPr>
                <w:rFonts w:ascii="Times New Roman" w:hAnsi="Times New Roman"/>
                <w:b/>
                <w:bCs/>
                <w:color w:val="000000"/>
                <w:sz w:val="18"/>
                <w:szCs w:val="18"/>
              </w:rPr>
              <w:t>6</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auto" w:fill="auto"/>
            <w:vAlign w:val="center"/>
          </w:tcPr>
          <w:p w14:paraId="035911F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993" w:type="dxa"/>
            <w:tcBorders>
              <w:top w:val="nil"/>
              <w:left w:val="nil"/>
              <w:bottom w:val="nil"/>
              <w:right w:val="single" w:sz="8" w:space="0" w:color="auto"/>
            </w:tcBorders>
            <w:vAlign w:val="center"/>
          </w:tcPr>
          <w:p w14:paraId="0B130D3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6,5</w:t>
            </w:r>
          </w:p>
        </w:tc>
      </w:tr>
      <w:tr w:rsidR="00FB1D87" w:rsidRPr="009D29AB" w14:paraId="1F08BE18" w14:textId="77777777" w:rsidTr="00FB1D87">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67241DA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Litwa</w:t>
            </w:r>
          </w:p>
        </w:tc>
        <w:tc>
          <w:tcPr>
            <w:tcW w:w="1134" w:type="dxa"/>
            <w:tcBorders>
              <w:top w:val="nil"/>
              <w:left w:val="nil"/>
              <w:bottom w:val="nil"/>
              <w:right w:val="nil"/>
            </w:tcBorders>
            <w:shd w:val="clear" w:color="000000" w:fill="BDD7EE"/>
            <w:noWrap/>
            <w:vAlign w:val="center"/>
          </w:tcPr>
          <w:p w14:paraId="6F93778C"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0,60</w:t>
            </w:r>
          </w:p>
        </w:tc>
        <w:tc>
          <w:tcPr>
            <w:tcW w:w="567" w:type="dxa"/>
            <w:tcBorders>
              <w:top w:val="nil"/>
              <w:left w:val="single" w:sz="8" w:space="0" w:color="auto"/>
              <w:bottom w:val="nil"/>
              <w:right w:val="single" w:sz="4" w:space="0" w:color="auto"/>
            </w:tcBorders>
            <w:shd w:val="clear" w:color="000000" w:fill="BDD7EE"/>
            <w:noWrap/>
            <w:vAlign w:val="center"/>
          </w:tcPr>
          <w:p w14:paraId="075E1FD0"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40F71C0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000000" w:fill="BDD7EE"/>
            <w:noWrap/>
            <w:vAlign w:val="center"/>
          </w:tcPr>
          <w:p w14:paraId="62FBB5A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6D749178" w14:textId="77777777" w:rsidR="009D29AB" w:rsidRPr="009D29AB" w:rsidRDefault="009D29AB" w:rsidP="009D29AB">
            <w:pPr>
              <w:spacing w:after="0" w:line="240" w:lineRule="auto"/>
              <w:jc w:val="center"/>
              <w:rPr>
                <w:rFonts w:ascii="Times New Roman" w:hAnsi="Times New Roman" w:cs="Times New Roman"/>
                <w:sz w:val="18"/>
                <w:szCs w:val="18"/>
              </w:rPr>
            </w:pPr>
            <w:r>
              <w:rPr>
                <w:rFonts w:ascii="Times New Roman" w:hAnsi="Times New Roman"/>
                <w:sz w:val="18"/>
                <w:szCs w:val="18"/>
              </w:rPr>
              <w:t>0,2</w:t>
            </w:r>
          </w:p>
        </w:tc>
        <w:tc>
          <w:tcPr>
            <w:tcW w:w="567" w:type="dxa"/>
            <w:tcBorders>
              <w:top w:val="nil"/>
              <w:left w:val="nil"/>
              <w:bottom w:val="nil"/>
              <w:right w:val="single" w:sz="4" w:space="0" w:color="auto"/>
            </w:tcBorders>
            <w:shd w:val="clear" w:color="000000" w:fill="BDD7EE"/>
            <w:noWrap/>
            <w:vAlign w:val="center"/>
          </w:tcPr>
          <w:p w14:paraId="2BFDA59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851" w:type="dxa"/>
            <w:tcBorders>
              <w:top w:val="nil"/>
              <w:left w:val="nil"/>
              <w:bottom w:val="nil"/>
              <w:right w:val="single" w:sz="8" w:space="0" w:color="auto"/>
            </w:tcBorders>
            <w:shd w:val="clear" w:color="000000" w:fill="BDD7EE"/>
            <w:noWrap/>
            <w:vAlign w:val="center"/>
          </w:tcPr>
          <w:p w14:paraId="3CC5D15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1417" w:type="dxa"/>
            <w:tcBorders>
              <w:top w:val="nil"/>
              <w:left w:val="nil"/>
              <w:bottom w:val="nil"/>
              <w:right w:val="single" w:sz="8" w:space="0" w:color="auto"/>
            </w:tcBorders>
            <w:shd w:val="clear" w:color="000000" w:fill="BDD7EE"/>
            <w:vAlign w:val="center"/>
          </w:tcPr>
          <w:p w14:paraId="0BFCE7C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00536EDF"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51" w:type="dxa"/>
            <w:tcBorders>
              <w:top w:val="nil"/>
              <w:left w:val="nil"/>
              <w:bottom w:val="nil"/>
              <w:right w:val="single" w:sz="4" w:space="0" w:color="auto"/>
            </w:tcBorders>
            <w:shd w:val="clear" w:color="000000" w:fill="BDD7EE"/>
            <w:noWrap/>
            <w:vAlign w:val="center"/>
          </w:tcPr>
          <w:p w14:paraId="1BD1046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2" w:type="dxa"/>
            <w:tcBorders>
              <w:top w:val="nil"/>
              <w:left w:val="nil"/>
              <w:bottom w:val="nil"/>
              <w:right w:val="single" w:sz="8" w:space="0" w:color="auto"/>
            </w:tcBorders>
            <w:shd w:val="clear" w:color="000000" w:fill="BDD7EE"/>
            <w:noWrap/>
            <w:vAlign w:val="center"/>
          </w:tcPr>
          <w:p w14:paraId="3CA1CCE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850" w:type="dxa"/>
            <w:tcBorders>
              <w:top w:val="nil"/>
              <w:left w:val="nil"/>
              <w:bottom w:val="nil"/>
              <w:right w:val="single" w:sz="8" w:space="0" w:color="auto"/>
            </w:tcBorders>
            <w:shd w:val="clear" w:color="000000" w:fill="BDD7EE"/>
            <w:vAlign w:val="center"/>
          </w:tcPr>
          <w:p w14:paraId="263E0B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866" w:type="dxa"/>
            <w:tcBorders>
              <w:top w:val="nil"/>
              <w:left w:val="nil"/>
              <w:bottom w:val="nil"/>
              <w:right w:val="single" w:sz="8" w:space="0" w:color="auto"/>
            </w:tcBorders>
            <w:shd w:val="clear" w:color="000000" w:fill="BDD7EE"/>
            <w:vAlign w:val="center"/>
          </w:tcPr>
          <w:p w14:paraId="355BD59E" w14:textId="73E68E13"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w:t>
            </w:r>
            <w:r w:rsidRPr="00A467B6">
              <w:rPr>
                <w:rFonts w:ascii="Times New Roman" w:hAnsi="Times New Roman"/>
                <w:b/>
                <w:bCs/>
                <w:color w:val="000000"/>
                <w:sz w:val="18"/>
                <w:szCs w:val="18"/>
              </w:rPr>
              <w:t>0</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000000" w:fill="BDD7EE"/>
            <w:vAlign w:val="center"/>
          </w:tcPr>
          <w:p w14:paraId="1F1EDE6D"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993" w:type="dxa"/>
            <w:tcBorders>
              <w:top w:val="nil"/>
              <w:left w:val="nil"/>
              <w:bottom w:val="nil"/>
              <w:right w:val="single" w:sz="8" w:space="0" w:color="auto"/>
            </w:tcBorders>
            <w:shd w:val="clear" w:color="000000" w:fill="BDD7EE"/>
            <w:vAlign w:val="center"/>
          </w:tcPr>
          <w:p w14:paraId="7E47AEC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9D29AB" w:rsidRPr="009D29AB" w14:paraId="14927E98" w14:textId="77777777" w:rsidTr="00FB1D87">
        <w:trPr>
          <w:trHeight w:val="290"/>
        </w:trPr>
        <w:tc>
          <w:tcPr>
            <w:tcW w:w="1101" w:type="dxa"/>
            <w:tcBorders>
              <w:top w:val="nil"/>
              <w:left w:val="single" w:sz="8" w:space="0" w:color="auto"/>
              <w:bottom w:val="nil"/>
              <w:right w:val="single" w:sz="8" w:space="0" w:color="auto"/>
            </w:tcBorders>
            <w:shd w:val="clear" w:color="auto" w:fill="auto"/>
            <w:noWrap/>
            <w:vAlign w:val="center"/>
          </w:tcPr>
          <w:p w14:paraId="2D71626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Łotwa</w:t>
            </w:r>
          </w:p>
        </w:tc>
        <w:tc>
          <w:tcPr>
            <w:tcW w:w="1134" w:type="dxa"/>
            <w:tcBorders>
              <w:top w:val="nil"/>
              <w:left w:val="nil"/>
              <w:bottom w:val="nil"/>
              <w:right w:val="nil"/>
            </w:tcBorders>
            <w:shd w:val="clear" w:color="auto" w:fill="auto"/>
            <w:noWrap/>
            <w:vAlign w:val="center"/>
          </w:tcPr>
          <w:p w14:paraId="71D7FDE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0,19</w:t>
            </w:r>
          </w:p>
        </w:tc>
        <w:tc>
          <w:tcPr>
            <w:tcW w:w="567" w:type="dxa"/>
            <w:tcBorders>
              <w:top w:val="nil"/>
              <w:left w:val="single" w:sz="8" w:space="0" w:color="auto"/>
              <w:bottom w:val="nil"/>
              <w:right w:val="single" w:sz="4" w:space="0" w:color="auto"/>
            </w:tcBorders>
            <w:shd w:val="clear" w:color="auto" w:fill="auto"/>
            <w:noWrap/>
            <w:vAlign w:val="center"/>
          </w:tcPr>
          <w:p w14:paraId="0634588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auto" w:fill="auto"/>
            <w:noWrap/>
            <w:vAlign w:val="center"/>
          </w:tcPr>
          <w:p w14:paraId="2134927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auto" w:fill="auto"/>
            <w:noWrap/>
            <w:vAlign w:val="center"/>
          </w:tcPr>
          <w:p w14:paraId="78E31F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auto" w:fill="auto"/>
            <w:noWrap/>
            <w:vAlign w:val="center"/>
          </w:tcPr>
          <w:p w14:paraId="3C2CA2FA"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0,1</w:t>
            </w:r>
          </w:p>
        </w:tc>
        <w:tc>
          <w:tcPr>
            <w:tcW w:w="567" w:type="dxa"/>
            <w:tcBorders>
              <w:top w:val="nil"/>
              <w:left w:val="nil"/>
              <w:bottom w:val="nil"/>
              <w:right w:val="single" w:sz="4" w:space="0" w:color="auto"/>
            </w:tcBorders>
            <w:shd w:val="clear" w:color="auto" w:fill="auto"/>
            <w:noWrap/>
            <w:vAlign w:val="center"/>
          </w:tcPr>
          <w:p w14:paraId="177520C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851" w:type="dxa"/>
            <w:tcBorders>
              <w:top w:val="nil"/>
              <w:left w:val="nil"/>
              <w:bottom w:val="nil"/>
              <w:right w:val="single" w:sz="8" w:space="0" w:color="auto"/>
            </w:tcBorders>
            <w:shd w:val="clear" w:color="auto" w:fill="auto"/>
            <w:noWrap/>
            <w:vAlign w:val="center"/>
          </w:tcPr>
          <w:p w14:paraId="0376F82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17" w:type="dxa"/>
            <w:tcBorders>
              <w:top w:val="nil"/>
              <w:left w:val="nil"/>
              <w:bottom w:val="nil"/>
              <w:right w:val="single" w:sz="8" w:space="0" w:color="auto"/>
            </w:tcBorders>
            <w:shd w:val="clear" w:color="auto" w:fill="auto"/>
            <w:vAlign w:val="center"/>
          </w:tcPr>
          <w:p w14:paraId="061A370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auto" w:fill="auto"/>
            <w:noWrap/>
            <w:vAlign w:val="center"/>
          </w:tcPr>
          <w:p w14:paraId="36BCBE2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0,0</w:t>
            </w:r>
          </w:p>
        </w:tc>
        <w:tc>
          <w:tcPr>
            <w:tcW w:w="551" w:type="dxa"/>
            <w:tcBorders>
              <w:top w:val="nil"/>
              <w:left w:val="nil"/>
              <w:bottom w:val="nil"/>
              <w:right w:val="single" w:sz="4" w:space="0" w:color="auto"/>
            </w:tcBorders>
            <w:shd w:val="clear" w:color="auto" w:fill="auto"/>
            <w:noWrap/>
            <w:vAlign w:val="center"/>
          </w:tcPr>
          <w:p w14:paraId="01D714F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852" w:type="dxa"/>
            <w:tcBorders>
              <w:top w:val="nil"/>
              <w:left w:val="nil"/>
              <w:bottom w:val="nil"/>
              <w:right w:val="single" w:sz="8" w:space="0" w:color="auto"/>
            </w:tcBorders>
            <w:shd w:val="clear" w:color="auto" w:fill="auto"/>
            <w:noWrap/>
            <w:vAlign w:val="center"/>
          </w:tcPr>
          <w:p w14:paraId="334C0FD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850" w:type="dxa"/>
            <w:tcBorders>
              <w:top w:val="nil"/>
              <w:left w:val="nil"/>
              <w:bottom w:val="nil"/>
              <w:right w:val="single" w:sz="8" w:space="0" w:color="auto"/>
            </w:tcBorders>
            <w:shd w:val="clear" w:color="auto" w:fill="auto"/>
            <w:vAlign w:val="center"/>
          </w:tcPr>
          <w:p w14:paraId="08076E5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0,2</w:t>
            </w:r>
          </w:p>
        </w:tc>
        <w:tc>
          <w:tcPr>
            <w:tcW w:w="866" w:type="dxa"/>
            <w:tcBorders>
              <w:top w:val="nil"/>
              <w:left w:val="nil"/>
              <w:bottom w:val="nil"/>
              <w:right w:val="single" w:sz="8" w:space="0" w:color="auto"/>
            </w:tcBorders>
            <w:shd w:val="clear" w:color="auto" w:fill="auto"/>
            <w:vAlign w:val="center"/>
          </w:tcPr>
          <w:p w14:paraId="2021C16D" w14:textId="6F497A24"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r w:rsidRPr="00A467B6">
              <w:rPr>
                <w:rFonts w:ascii="Times New Roman" w:hAnsi="Times New Roman"/>
                <w:b/>
                <w:bCs/>
                <w:color w:val="000000"/>
                <w:sz w:val="18"/>
                <w:szCs w:val="18"/>
              </w:rPr>
              <w:t>0</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auto" w:fill="auto"/>
            <w:vAlign w:val="center"/>
          </w:tcPr>
          <w:p w14:paraId="4A062B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993" w:type="dxa"/>
            <w:tcBorders>
              <w:top w:val="nil"/>
              <w:left w:val="nil"/>
              <w:bottom w:val="nil"/>
              <w:right w:val="single" w:sz="8" w:space="0" w:color="auto"/>
            </w:tcBorders>
            <w:vAlign w:val="center"/>
          </w:tcPr>
          <w:p w14:paraId="69C70ED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FB1D87" w:rsidRPr="009D29AB" w14:paraId="43248176" w14:textId="77777777" w:rsidTr="00FB1D87">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530F512E"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Malta</w:t>
            </w:r>
          </w:p>
        </w:tc>
        <w:tc>
          <w:tcPr>
            <w:tcW w:w="1134" w:type="dxa"/>
            <w:tcBorders>
              <w:top w:val="nil"/>
              <w:left w:val="nil"/>
              <w:bottom w:val="nil"/>
              <w:right w:val="nil"/>
            </w:tcBorders>
            <w:shd w:val="clear" w:color="000000" w:fill="BDD7EE"/>
            <w:noWrap/>
            <w:vAlign w:val="center"/>
          </w:tcPr>
          <w:p w14:paraId="0DAA21E3"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0,24</w:t>
            </w:r>
          </w:p>
        </w:tc>
        <w:tc>
          <w:tcPr>
            <w:tcW w:w="567" w:type="dxa"/>
            <w:tcBorders>
              <w:top w:val="nil"/>
              <w:left w:val="single" w:sz="8" w:space="0" w:color="auto"/>
              <w:bottom w:val="nil"/>
              <w:right w:val="single" w:sz="4" w:space="0" w:color="auto"/>
            </w:tcBorders>
            <w:shd w:val="clear" w:color="000000" w:fill="BDD7EE"/>
            <w:noWrap/>
            <w:vAlign w:val="center"/>
          </w:tcPr>
          <w:p w14:paraId="52E2C29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604F7BA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000000" w:fill="BDD7EE"/>
            <w:noWrap/>
            <w:vAlign w:val="center"/>
          </w:tcPr>
          <w:p w14:paraId="6448D33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58DB1136"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c>
          <w:tcPr>
            <w:tcW w:w="567" w:type="dxa"/>
            <w:tcBorders>
              <w:top w:val="nil"/>
              <w:left w:val="nil"/>
              <w:bottom w:val="nil"/>
              <w:right w:val="single" w:sz="4" w:space="0" w:color="auto"/>
            </w:tcBorders>
            <w:shd w:val="clear" w:color="000000" w:fill="BDD7EE"/>
            <w:noWrap/>
            <w:vAlign w:val="center"/>
          </w:tcPr>
          <w:p w14:paraId="67301B9B"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c>
          <w:tcPr>
            <w:tcW w:w="851" w:type="dxa"/>
            <w:tcBorders>
              <w:top w:val="nil"/>
              <w:left w:val="nil"/>
              <w:bottom w:val="nil"/>
              <w:right w:val="single" w:sz="8" w:space="0" w:color="auto"/>
            </w:tcBorders>
            <w:shd w:val="clear" w:color="000000" w:fill="BDD7EE"/>
            <w:noWrap/>
            <w:vAlign w:val="center"/>
          </w:tcPr>
          <w:p w14:paraId="3BA0051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1417" w:type="dxa"/>
            <w:tcBorders>
              <w:top w:val="nil"/>
              <w:left w:val="nil"/>
              <w:bottom w:val="nil"/>
              <w:right w:val="single" w:sz="8" w:space="0" w:color="auto"/>
            </w:tcBorders>
            <w:shd w:val="clear" w:color="000000" w:fill="BDD7EE"/>
            <w:vAlign w:val="center"/>
          </w:tcPr>
          <w:p w14:paraId="04F01FE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0B0454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51" w:type="dxa"/>
            <w:tcBorders>
              <w:top w:val="nil"/>
              <w:left w:val="nil"/>
              <w:bottom w:val="nil"/>
              <w:right w:val="single" w:sz="4" w:space="0" w:color="auto"/>
            </w:tcBorders>
            <w:shd w:val="clear" w:color="000000" w:fill="BDD7EE"/>
            <w:noWrap/>
            <w:vAlign w:val="center"/>
          </w:tcPr>
          <w:p w14:paraId="401E4732"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2" w:type="dxa"/>
            <w:tcBorders>
              <w:top w:val="nil"/>
              <w:left w:val="nil"/>
              <w:bottom w:val="nil"/>
              <w:right w:val="single" w:sz="8" w:space="0" w:color="auto"/>
            </w:tcBorders>
            <w:shd w:val="clear" w:color="000000" w:fill="BDD7EE"/>
            <w:noWrap/>
            <w:vAlign w:val="center"/>
          </w:tcPr>
          <w:p w14:paraId="649E24E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850" w:type="dxa"/>
            <w:tcBorders>
              <w:top w:val="nil"/>
              <w:left w:val="nil"/>
              <w:bottom w:val="nil"/>
              <w:right w:val="single" w:sz="8" w:space="0" w:color="auto"/>
            </w:tcBorders>
            <w:shd w:val="clear" w:color="000000" w:fill="BDD7EE"/>
            <w:vAlign w:val="center"/>
          </w:tcPr>
          <w:p w14:paraId="21F98BC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0,1</w:t>
            </w:r>
          </w:p>
        </w:tc>
        <w:tc>
          <w:tcPr>
            <w:tcW w:w="866" w:type="dxa"/>
            <w:tcBorders>
              <w:top w:val="nil"/>
              <w:left w:val="nil"/>
              <w:bottom w:val="nil"/>
              <w:right w:val="single" w:sz="8" w:space="0" w:color="auto"/>
            </w:tcBorders>
            <w:shd w:val="clear" w:color="000000" w:fill="BDD7EE"/>
            <w:vAlign w:val="center"/>
          </w:tcPr>
          <w:p w14:paraId="7D751CEC" w14:textId="5095A1C4"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w:t>
            </w:r>
            <w:r w:rsidRPr="00A467B6">
              <w:rPr>
                <w:rFonts w:ascii="Times New Roman" w:hAnsi="Times New Roman"/>
                <w:b/>
                <w:bCs/>
                <w:color w:val="000000"/>
                <w:sz w:val="18"/>
                <w:szCs w:val="18"/>
              </w:rPr>
              <w:t>9</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000000" w:fill="BDD7EE"/>
            <w:vAlign w:val="center"/>
          </w:tcPr>
          <w:p w14:paraId="10E387B1"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13,3</w:t>
            </w:r>
          </w:p>
        </w:tc>
        <w:tc>
          <w:tcPr>
            <w:tcW w:w="993" w:type="dxa"/>
            <w:tcBorders>
              <w:top w:val="nil"/>
              <w:left w:val="nil"/>
              <w:bottom w:val="nil"/>
              <w:right w:val="single" w:sz="8" w:space="0" w:color="auto"/>
            </w:tcBorders>
            <w:shd w:val="clear" w:color="000000" w:fill="BDD7EE"/>
            <w:vAlign w:val="center"/>
          </w:tcPr>
          <w:p w14:paraId="03D951D1"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0,1</w:t>
            </w:r>
          </w:p>
        </w:tc>
      </w:tr>
      <w:tr w:rsidR="009D29AB" w:rsidRPr="009D29AB" w14:paraId="3BD3026A" w14:textId="77777777" w:rsidTr="00FB1D87">
        <w:trPr>
          <w:trHeight w:val="290"/>
        </w:trPr>
        <w:tc>
          <w:tcPr>
            <w:tcW w:w="1101" w:type="dxa"/>
            <w:tcBorders>
              <w:top w:val="nil"/>
              <w:left w:val="single" w:sz="8" w:space="0" w:color="auto"/>
              <w:bottom w:val="nil"/>
              <w:right w:val="single" w:sz="8" w:space="0" w:color="auto"/>
            </w:tcBorders>
            <w:shd w:val="clear" w:color="auto" w:fill="auto"/>
            <w:noWrap/>
            <w:vAlign w:val="center"/>
          </w:tcPr>
          <w:p w14:paraId="6A877118"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Polska</w:t>
            </w:r>
          </w:p>
        </w:tc>
        <w:tc>
          <w:tcPr>
            <w:tcW w:w="1134" w:type="dxa"/>
            <w:tcBorders>
              <w:top w:val="nil"/>
              <w:left w:val="nil"/>
              <w:bottom w:val="nil"/>
              <w:right w:val="nil"/>
            </w:tcBorders>
            <w:shd w:val="clear" w:color="auto" w:fill="auto"/>
            <w:noWrap/>
            <w:vAlign w:val="center"/>
          </w:tcPr>
          <w:p w14:paraId="690A8EC4"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11,24</w:t>
            </w:r>
          </w:p>
        </w:tc>
        <w:tc>
          <w:tcPr>
            <w:tcW w:w="567" w:type="dxa"/>
            <w:tcBorders>
              <w:top w:val="nil"/>
              <w:left w:val="single" w:sz="8" w:space="0" w:color="auto"/>
              <w:bottom w:val="nil"/>
              <w:right w:val="single" w:sz="4" w:space="0" w:color="auto"/>
            </w:tcBorders>
            <w:shd w:val="clear" w:color="auto" w:fill="auto"/>
            <w:noWrap/>
            <w:vAlign w:val="center"/>
          </w:tcPr>
          <w:p w14:paraId="5513E85E"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1,0</w:t>
            </w:r>
          </w:p>
        </w:tc>
        <w:tc>
          <w:tcPr>
            <w:tcW w:w="567" w:type="dxa"/>
            <w:tcBorders>
              <w:top w:val="nil"/>
              <w:left w:val="nil"/>
              <w:bottom w:val="nil"/>
              <w:right w:val="single" w:sz="4" w:space="0" w:color="auto"/>
            </w:tcBorders>
            <w:shd w:val="clear" w:color="auto" w:fill="auto"/>
            <w:noWrap/>
            <w:vAlign w:val="center"/>
          </w:tcPr>
          <w:p w14:paraId="77C63EF4"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auto" w:fill="auto"/>
            <w:noWrap/>
            <w:vAlign w:val="center"/>
          </w:tcPr>
          <w:p w14:paraId="0B6A0A8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color w:val="000000"/>
                <w:sz w:val="18"/>
                <w:szCs w:val="18"/>
              </w:rPr>
              <w:t>1,0</w:t>
            </w:r>
          </w:p>
        </w:tc>
        <w:tc>
          <w:tcPr>
            <w:tcW w:w="567" w:type="dxa"/>
            <w:tcBorders>
              <w:top w:val="nil"/>
              <w:left w:val="nil"/>
              <w:bottom w:val="nil"/>
              <w:right w:val="single" w:sz="4" w:space="0" w:color="auto"/>
            </w:tcBorders>
            <w:shd w:val="clear" w:color="auto" w:fill="auto"/>
            <w:noWrap/>
            <w:vAlign w:val="center"/>
          </w:tcPr>
          <w:p w14:paraId="7E23C36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auto" w:fill="auto"/>
            <w:noWrap/>
            <w:vAlign w:val="center"/>
          </w:tcPr>
          <w:p w14:paraId="3D0CFE4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8" w:space="0" w:color="auto"/>
            </w:tcBorders>
            <w:shd w:val="clear" w:color="auto" w:fill="auto"/>
            <w:noWrap/>
            <w:vAlign w:val="center"/>
          </w:tcPr>
          <w:p w14:paraId="3683769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17" w:type="dxa"/>
            <w:tcBorders>
              <w:top w:val="nil"/>
              <w:left w:val="nil"/>
              <w:bottom w:val="nil"/>
              <w:right w:val="single" w:sz="8" w:space="0" w:color="auto"/>
            </w:tcBorders>
            <w:shd w:val="clear" w:color="auto" w:fill="auto"/>
            <w:vAlign w:val="center"/>
          </w:tcPr>
          <w:p w14:paraId="6C69F4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bottom w:val="nil"/>
              <w:right w:val="single" w:sz="4" w:space="0" w:color="auto"/>
            </w:tcBorders>
            <w:shd w:val="clear" w:color="auto" w:fill="auto"/>
            <w:noWrap/>
            <w:vAlign w:val="center"/>
          </w:tcPr>
          <w:p w14:paraId="37D48978"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2,6</w:t>
            </w:r>
          </w:p>
        </w:tc>
        <w:tc>
          <w:tcPr>
            <w:tcW w:w="551" w:type="dxa"/>
            <w:tcBorders>
              <w:top w:val="nil"/>
              <w:left w:val="nil"/>
              <w:bottom w:val="nil"/>
              <w:right w:val="single" w:sz="4" w:space="0" w:color="auto"/>
            </w:tcBorders>
            <w:shd w:val="clear" w:color="auto" w:fill="auto"/>
            <w:noWrap/>
            <w:vAlign w:val="center"/>
          </w:tcPr>
          <w:p w14:paraId="6FAA8D65"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1,7</w:t>
            </w:r>
          </w:p>
        </w:tc>
        <w:tc>
          <w:tcPr>
            <w:tcW w:w="852" w:type="dxa"/>
            <w:tcBorders>
              <w:top w:val="nil"/>
              <w:left w:val="nil"/>
              <w:bottom w:val="nil"/>
              <w:right w:val="single" w:sz="8" w:space="0" w:color="auto"/>
            </w:tcBorders>
            <w:shd w:val="clear" w:color="auto" w:fill="auto"/>
            <w:noWrap/>
            <w:vAlign w:val="center"/>
          </w:tcPr>
          <w:p w14:paraId="7CFF3C7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4,3</w:t>
            </w:r>
          </w:p>
        </w:tc>
        <w:tc>
          <w:tcPr>
            <w:tcW w:w="850" w:type="dxa"/>
            <w:tcBorders>
              <w:top w:val="nil"/>
              <w:left w:val="nil"/>
              <w:bottom w:val="nil"/>
              <w:right w:val="single" w:sz="8" w:space="0" w:color="auto"/>
            </w:tcBorders>
            <w:shd w:val="clear" w:color="auto" w:fill="auto"/>
            <w:vAlign w:val="center"/>
          </w:tcPr>
          <w:p w14:paraId="66C0C80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w:t>
            </w:r>
          </w:p>
        </w:tc>
        <w:tc>
          <w:tcPr>
            <w:tcW w:w="866" w:type="dxa"/>
            <w:tcBorders>
              <w:top w:val="nil"/>
              <w:left w:val="nil"/>
              <w:bottom w:val="nil"/>
              <w:right w:val="single" w:sz="8" w:space="0" w:color="auto"/>
            </w:tcBorders>
            <w:shd w:val="clear" w:color="auto" w:fill="auto"/>
            <w:vAlign w:val="center"/>
          </w:tcPr>
          <w:p w14:paraId="0CC77491" w14:textId="1B5308BD"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w:t>
            </w:r>
            <w:r w:rsidRPr="00A467B6">
              <w:rPr>
                <w:rFonts w:ascii="Times New Roman" w:hAnsi="Times New Roman"/>
                <w:b/>
                <w:bCs/>
                <w:color w:val="000000"/>
                <w:sz w:val="18"/>
                <w:szCs w:val="18"/>
              </w:rPr>
              <w:t>7</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auto" w:fill="auto"/>
            <w:vAlign w:val="center"/>
          </w:tcPr>
          <w:p w14:paraId="5ACF89F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14,9</w:t>
            </w:r>
          </w:p>
        </w:tc>
        <w:tc>
          <w:tcPr>
            <w:tcW w:w="993" w:type="dxa"/>
            <w:tcBorders>
              <w:top w:val="nil"/>
              <w:left w:val="nil"/>
              <w:bottom w:val="nil"/>
              <w:right w:val="single" w:sz="8" w:space="0" w:color="auto"/>
            </w:tcBorders>
            <w:vAlign w:val="center"/>
          </w:tcPr>
          <w:p w14:paraId="66ED61E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6,0</w:t>
            </w:r>
          </w:p>
        </w:tc>
      </w:tr>
      <w:tr w:rsidR="00FB1D87" w:rsidRPr="009D29AB" w14:paraId="5A6C73E3" w14:textId="77777777" w:rsidTr="00FB1D87">
        <w:trPr>
          <w:trHeight w:val="290"/>
        </w:trPr>
        <w:tc>
          <w:tcPr>
            <w:tcW w:w="1101" w:type="dxa"/>
            <w:tcBorders>
              <w:top w:val="nil"/>
              <w:left w:val="single" w:sz="8" w:space="0" w:color="auto"/>
              <w:bottom w:val="nil"/>
              <w:right w:val="single" w:sz="8" w:space="0" w:color="auto"/>
            </w:tcBorders>
            <w:shd w:val="clear" w:color="000000" w:fill="BDD7EE"/>
            <w:noWrap/>
            <w:vAlign w:val="center"/>
          </w:tcPr>
          <w:p w14:paraId="29106843"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Portugalia</w:t>
            </w:r>
          </w:p>
        </w:tc>
        <w:tc>
          <w:tcPr>
            <w:tcW w:w="1134" w:type="dxa"/>
            <w:tcBorders>
              <w:top w:val="nil"/>
              <w:left w:val="nil"/>
              <w:bottom w:val="nil"/>
              <w:right w:val="nil"/>
            </w:tcBorders>
            <w:shd w:val="clear" w:color="000000" w:fill="BDD7EE"/>
            <w:noWrap/>
            <w:vAlign w:val="center"/>
          </w:tcPr>
          <w:p w14:paraId="757C9E5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5,93</w:t>
            </w:r>
          </w:p>
        </w:tc>
        <w:tc>
          <w:tcPr>
            <w:tcW w:w="567" w:type="dxa"/>
            <w:tcBorders>
              <w:top w:val="nil"/>
              <w:left w:val="single" w:sz="8" w:space="0" w:color="auto"/>
              <w:bottom w:val="nil"/>
              <w:right w:val="single" w:sz="4" w:space="0" w:color="auto"/>
            </w:tcBorders>
            <w:shd w:val="clear" w:color="000000" w:fill="BDD7EE"/>
            <w:noWrap/>
            <w:vAlign w:val="center"/>
          </w:tcPr>
          <w:p w14:paraId="48D26A4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4B452D4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000000" w:fill="BDD7EE"/>
            <w:noWrap/>
            <w:vAlign w:val="center"/>
          </w:tcPr>
          <w:p w14:paraId="37E772DC"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452E28E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000000" w:fill="BDD7EE"/>
            <w:noWrap/>
            <w:vAlign w:val="center"/>
          </w:tcPr>
          <w:p w14:paraId="16E31A1B"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nil"/>
              <w:right w:val="single" w:sz="8" w:space="0" w:color="auto"/>
            </w:tcBorders>
            <w:shd w:val="clear" w:color="000000" w:fill="BDD7EE"/>
            <w:noWrap/>
            <w:vAlign w:val="center"/>
          </w:tcPr>
          <w:p w14:paraId="216D338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1417" w:type="dxa"/>
            <w:tcBorders>
              <w:top w:val="nil"/>
              <w:left w:val="nil"/>
              <w:bottom w:val="nil"/>
              <w:right w:val="single" w:sz="8" w:space="0" w:color="auto"/>
            </w:tcBorders>
            <w:shd w:val="clear" w:color="000000" w:fill="BDD7EE"/>
            <w:vAlign w:val="center"/>
          </w:tcPr>
          <w:p w14:paraId="755ECB4F"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67" w:type="dxa"/>
            <w:tcBorders>
              <w:top w:val="nil"/>
              <w:left w:val="nil"/>
              <w:bottom w:val="nil"/>
              <w:right w:val="single" w:sz="4" w:space="0" w:color="auto"/>
            </w:tcBorders>
            <w:shd w:val="clear" w:color="000000" w:fill="BDD7EE"/>
            <w:noWrap/>
            <w:vAlign w:val="center"/>
          </w:tcPr>
          <w:p w14:paraId="50AA8CE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51" w:type="dxa"/>
            <w:tcBorders>
              <w:top w:val="nil"/>
              <w:left w:val="nil"/>
              <w:bottom w:val="nil"/>
              <w:right w:val="single" w:sz="4" w:space="0" w:color="auto"/>
            </w:tcBorders>
            <w:shd w:val="clear" w:color="000000" w:fill="BDD7EE"/>
            <w:noWrap/>
            <w:vAlign w:val="center"/>
          </w:tcPr>
          <w:p w14:paraId="39ECA02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2" w:type="dxa"/>
            <w:tcBorders>
              <w:top w:val="nil"/>
              <w:left w:val="nil"/>
              <w:bottom w:val="nil"/>
              <w:right w:val="single" w:sz="8" w:space="0" w:color="auto"/>
            </w:tcBorders>
            <w:shd w:val="clear" w:color="000000" w:fill="BDD7EE"/>
            <w:noWrap/>
            <w:vAlign w:val="center"/>
          </w:tcPr>
          <w:p w14:paraId="45CA0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850" w:type="dxa"/>
            <w:tcBorders>
              <w:top w:val="nil"/>
              <w:left w:val="nil"/>
              <w:bottom w:val="nil"/>
              <w:right w:val="single" w:sz="8" w:space="0" w:color="auto"/>
            </w:tcBorders>
            <w:shd w:val="clear" w:color="000000" w:fill="BDD7EE"/>
            <w:vAlign w:val="center"/>
          </w:tcPr>
          <w:p w14:paraId="728472AB"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866" w:type="dxa"/>
            <w:tcBorders>
              <w:top w:val="nil"/>
              <w:left w:val="nil"/>
              <w:bottom w:val="nil"/>
              <w:right w:val="single" w:sz="8" w:space="0" w:color="auto"/>
            </w:tcBorders>
            <w:shd w:val="clear" w:color="000000" w:fill="BDD7EE"/>
            <w:vAlign w:val="center"/>
          </w:tcPr>
          <w:p w14:paraId="5E2FFD36" w14:textId="4A60B61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w:t>
            </w:r>
            <w:r w:rsidRPr="00A467B6">
              <w:rPr>
                <w:rFonts w:ascii="Times New Roman" w:hAnsi="Times New Roman"/>
                <w:b/>
                <w:bCs/>
                <w:color w:val="000000"/>
                <w:sz w:val="18"/>
                <w:szCs w:val="18"/>
              </w:rPr>
              <w:t>1</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000000" w:fill="BDD7EE"/>
            <w:vAlign w:val="center"/>
          </w:tcPr>
          <w:p w14:paraId="7211DA7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993" w:type="dxa"/>
            <w:tcBorders>
              <w:top w:val="nil"/>
              <w:left w:val="nil"/>
              <w:bottom w:val="nil"/>
              <w:right w:val="single" w:sz="8" w:space="0" w:color="auto"/>
            </w:tcBorders>
            <w:shd w:val="clear" w:color="000000" w:fill="BDD7EE"/>
            <w:vAlign w:val="center"/>
          </w:tcPr>
          <w:p w14:paraId="31F68C2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2,9</w:t>
            </w:r>
          </w:p>
        </w:tc>
      </w:tr>
      <w:tr w:rsidR="009D29AB" w:rsidRPr="009D29AB" w14:paraId="73BC73ED" w14:textId="77777777" w:rsidTr="00FB1D87">
        <w:trPr>
          <w:trHeight w:val="290"/>
        </w:trPr>
        <w:tc>
          <w:tcPr>
            <w:tcW w:w="1101" w:type="dxa"/>
            <w:tcBorders>
              <w:top w:val="nil"/>
              <w:left w:val="single" w:sz="8" w:space="0" w:color="auto"/>
              <w:bottom w:val="nil"/>
              <w:right w:val="single" w:sz="8" w:space="0" w:color="auto"/>
            </w:tcBorders>
            <w:shd w:val="clear" w:color="auto" w:fill="auto"/>
            <w:noWrap/>
            <w:vAlign w:val="center"/>
          </w:tcPr>
          <w:p w14:paraId="0DA6A7A1"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Rumunia</w:t>
            </w:r>
          </w:p>
        </w:tc>
        <w:tc>
          <w:tcPr>
            <w:tcW w:w="1134" w:type="dxa"/>
            <w:tcBorders>
              <w:top w:val="nil"/>
              <w:left w:val="nil"/>
              <w:bottom w:val="nil"/>
              <w:right w:val="nil"/>
            </w:tcBorders>
            <w:shd w:val="clear" w:color="auto" w:fill="auto"/>
            <w:noWrap/>
            <w:vAlign w:val="center"/>
          </w:tcPr>
          <w:p w14:paraId="4D798F0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4,10</w:t>
            </w:r>
          </w:p>
        </w:tc>
        <w:tc>
          <w:tcPr>
            <w:tcW w:w="567" w:type="dxa"/>
            <w:tcBorders>
              <w:top w:val="nil"/>
              <w:left w:val="single" w:sz="8" w:space="0" w:color="auto"/>
              <w:bottom w:val="nil"/>
              <w:right w:val="single" w:sz="4" w:space="0" w:color="auto"/>
            </w:tcBorders>
            <w:shd w:val="clear" w:color="auto" w:fill="auto"/>
            <w:noWrap/>
            <w:vAlign w:val="center"/>
          </w:tcPr>
          <w:p w14:paraId="4B6FBFBA"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auto" w:fill="auto"/>
            <w:noWrap/>
            <w:vAlign w:val="center"/>
          </w:tcPr>
          <w:p w14:paraId="191B1C69"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nil"/>
              <w:right w:val="single" w:sz="8" w:space="0" w:color="auto"/>
            </w:tcBorders>
            <w:shd w:val="clear" w:color="auto" w:fill="auto"/>
            <w:noWrap/>
            <w:vAlign w:val="center"/>
          </w:tcPr>
          <w:p w14:paraId="401DB9D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nil"/>
              <w:right w:val="single" w:sz="4" w:space="0" w:color="auto"/>
            </w:tcBorders>
            <w:shd w:val="clear" w:color="auto" w:fill="auto"/>
            <w:noWrap/>
            <w:vAlign w:val="center"/>
          </w:tcPr>
          <w:p w14:paraId="4F6E605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67" w:type="dxa"/>
            <w:tcBorders>
              <w:top w:val="nil"/>
              <w:left w:val="nil"/>
              <w:bottom w:val="nil"/>
              <w:right w:val="single" w:sz="4" w:space="0" w:color="auto"/>
            </w:tcBorders>
            <w:shd w:val="clear" w:color="auto" w:fill="auto"/>
            <w:noWrap/>
            <w:vAlign w:val="center"/>
          </w:tcPr>
          <w:p w14:paraId="5871D1A6"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851" w:type="dxa"/>
            <w:tcBorders>
              <w:top w:val="nil"/>
              <w:left w:val="nil"/>
              <w:bottom w:val="nil"/>
              <w:right w:val="single" w:sz="8" w:space="0" w:color="auto"/>
            </w:tcBorders>
            <w:shd w:val="clear" w:color="auto" w:fill="auto"/>
            <w:noWrap/>
            <w:vAlign w:val="center"/>
          </w:tcPr>
          <w:p w14:paraId="2184BF6C" w14:textId="77777777" w:rsidR="009D29AB" w:rsidRPr="009D29AB" w:rsidRDefault="009D29AB" w:rsidP="009D29AB">
            <w:pPr>
              <w:spacing w:after="0" w:line="240" w:lineRule="auto"/>
              <w:jc w:val="center"/>
              <w:rPr>
                <w:rFonts w:ascii="Times New Roman" w:hAnsi="Times New Roman" w:cs="Times New Roman"/>
                <w:b/>
                <w:bCs/>
                <w:sz w:val="18"/>
                <w:szCs w:val="18"/>
              </w:rPr>
            </w:pPr>
          </w:p>
        </w:tc>
        <w:tc>
          <w:tcPr>
            <w:tcW w:w="1417" w:type="dxa"/>
            <w:tcBorders>
              <w:top w:val="nil"/>
              <w:left w:val="nil"/>
              <w:bottom w:val="nil"/>
              <w:right w:val="single" w:sz="8" w:space="0" w:color="auto"/>
            </w:tcBorders>
            <w:shd w:val="clear" w:color="auto" w:fill="auto"/>
            <w:vAlign w:val="center"/>
          </w:tcPr>
          <w:p w14:paraId="7CB05E35"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567" w:type="dxa"/>
            <w:tcBorders>
              <w:top w:val="nil"/>
              <w:left w:val="nil"/>
              <w:bottom w:val="nil"/>
              <w:right w:val="single" w:sz="4" w:space="0" w:color="auto"/>
            </w:tcBorders>
            <w:shd w:val="clear" w:color="auto" w:fill="auto"/>
            <w:noWrap/>
            <w:vAlign w:val="center"/>
          </w:tcPr>
          <w:p w14:paraId="151B1E81"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551" w:type="dxa"/>
            <w:tcBorders>
              <w:top w:val="nil"/>
              <w:left w:val="nil"/>
              <w:bottom w:val="nil"/>
              <w:right w:val="single" w:sz="4" w:space="0" w:color="auto"/>
            </w:tcBorders>
            <w:shd w:val="clear" w:color="auto" w:fill="auto"/>
            <w:noWrap/>
            <w:vAlign w:val="center"/>
          </w:tcPr>
          <w:p w14:paraId="4C6DE918" w14:textId="77777777" w:rsidR="009D29AB" w:rsidRPr="009D29AB" w:rsidRDefault="009D29AB" w:rsidP="009D29AB">
            <w:pPr>
              <w:spacing w:after="0" w:line="240" w:lineRule="auto"/>
              <w:jc w:val="center"/>
              <w:rPr>
                <w:rFonts w:ascii="Times New Roman" w:hAnsi="Times New Roman" w:cs="Times New Roman"/>
                <w:sz w:val="18"/>
                <w:szCs w:val="18"/>
              </w:rPr>
            </w:pPr>
          </w:p>
        </w:tc>
        <w:tc>
          <w:tcPr>
            <w:tcW w:w="852" w:type="dxa"/>
            <w:tcBorders>
              <w:top w:val="nil"/>
              <w:left w:val="nil"/>
              <w:bottom w:val="nil"/>
              <w:right w:val="single" w:sz="8" w:space="0" w:color="auto"/>
            </w:tcBorders>
            <w:shd w:val="clear" w:color="auto" w:fill="auto"/>
            <w:noWrap/>
            <w:vAlign w:val="center"/>
          </w:tcPr>
          <w:p w14:paraId="2F941A55" w14:textId="77777777" w:rsidR="009D29AB" w:rsidRPr="009D29AB" w:rsidRDefault="009D29AB" w:rsidP="009D29AB">
            <w:pPr>
              <w:spacing w:after="0" w:line="240" w:lineRule="auto"/>
              <w:jc w:val="center"/>
              <w:rPr>
                <w:rFonts w:ascii="Times New Roman" w:hAnsi="Times New Roman" w:cs="Times New Roman"/>
                <w:b/>
                <w:bCs/>
                <w:sz w:val="18"/>
                <w:szCs w:val="18"/>
              </w:rPr>
            </w:pPr>
            <w:r>
              <w:rPr>
                <w:rFonts w:ascii="Times New Roman" w:hAnsi="Times New Roman"/>
                <w:b/>
                <w:bCs/>
                <w:color w:val="000000"/>
                <w:sz w:val="18"/>
                <w:szCs w:val="18"/>
              </w:rPr>
              <w:t>0,0</w:t>
            </w:r>
          </w:p>
        </w:tc>
        <w:tc>
          <w:tcPr>
            <w:tcW w:w="850" w:type="dxa"/>
            <w:tcBorders>
              <w:top w:val="nil"/>
              <w:left w:val="nil"/>
              <w:bottom w:val="nil"/>
              <w:right w:val="single" w:sz="8" w:space="0" w:color="auto"/>
            </w:tcBorders>
            <w:shd w:val="clear" w:color="auto" w:fill="auto"/>
            <w:vAlign w:val="center"/>
          </w:tcPr>
          <w:p w14:paraId="5FC2F5D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3,0</w:t>
            </w:r>
          </w:p>
        </w:tc>
        <w:tc>
          <w:tcPr>
            <w:tcW w:w="866" w:type="dxa"/>
            <w:tcBorders>
              <w:top w:val="nil"/>
              <w:left w:val="nil"/>
              <w:bottom w:val="nil"/>
              <w:right w:val="single" w:sz="8" w:space="0" w:color="auto"/>
            </w:tcBorders>
            <w:shd w:val="clear" w:color="auto" w:fill="auto"/>
            <w:vAlign w:val="center"/>
          </w:tcPr>
          <w:p w14:paraId="555DED1B" w14:textId="742FB3D4"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7</w:t>
            </w:r>
            <w:r w:rsidRPr="00A467B6">
              <w:rPr>
                <w:rFonts w:ascii="Times New Roman" w:hAnsi="Times New Roman"/>
                <w:b/>
                <w:bCs/>
                <w:color w:val="000000"/>
                <w:sz w:val="18"/>
                <w:szCs w:val="18"/>
              </w:rPr>
              <w:t>3</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nil"/>
              <w:right w:val="single" w:sz="8" w:space="0" w:color="auto"/>
            </w:tcBorders>
            <w:shd w:val="clear" w:color="auto" w:fill="auto"/>
            <w:vAlign w:val="center"/>
          </w:tcPr>
          <w:p w14:paraId="0F5E00E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993" w:type="dxa"/>
            <w:tcBorders>
              <w:top w:val="nil"/>
              <w:left w:val="nil"/>
              <w:bottom w:val="nil"/>
              <w:right w:val="single" w:sz="8" w:space="0" w:color="auto"/>
            </w:tcBorders>
            <w:vAlign w:val="center"/>
          </w:tcPr>
          <w:p w14:paraId="2455341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1,1</w:t>
            </w:r>
          </w:p>
        </w:tc>
      </w:tr>
      <w:tr w:rsidR="00FB1D87" w:rsidRPr="009D29AB" w14:paraId="02412C54" w14:textId="77777777" w:rsidTr="00FB1D87">
        <w:trPr>
          <w:trHeight w:val="300"/>
        </w:trPr>
        <w:tc>
          <w:tcPr>
            <w:tcW w:w="1101" w:type="dxa"/>
            <w:tcBorders>
              <w:top w:val="nil"/>
              <w:left w:val="single" w:sz="8" w:space="0" w:color="auto"/>
              <w:right w:val="single" w:sz="8" w:space="0" w:color="auto"/>
            </w:tcBorders>
            <w:shd w:val="clear" w:color="000000" w:fill="BDD7EE"/>
            <w:noWrap/>
            <w:vAlign w:val="center"/>
          </w:tcPr>
          <w:p w14:paraId="1FB84AED"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Słowenia </w:t>
            </w:r>
          </w:p>
        </w:tc>
        <w:tc>
          <w:tcPr>
            <w:tcW w:w="1134" w:type="dxa"/>
            <w:tcBorders>
              <w:top w:val="nil"/>
              <w:left w:val="nil"/>
              <w:right w:val="nil"/>
            </w:tcBorders>
            <w:shd w:val="clear" w:color="000000" w:fill="BDD7EE"/>
            <w:noWrap/>
            <w:vAlign w:val="center"/>
          </w:tcPr>
          <w:p w14:paraId="7C1F3B7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1,11</w:t>
            </w:r>
          </w:p>
        </w:tc>
        <w:tc>
          <w:tcPr>
            <w:tcW w:w="567" w:type="dxa"/>
            <w:tcBorders>
              <w:top w:val="nil"/>
              <w:left w:val="single" w:sz="8" w:space="0" w:color="auto"/>
              <w:right w:val="single" w:sz="4" w:space="0" w:color="auto"/>
            </w:tcBorders>
            <w:shd w:val="clear" w:color="000000" w:fill="BDD7EE"/>
            <w:noWrap/>
            <w:vAlign w:val="center"/>
          </w:tcPr>
          <w:p w14:paraId="553833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right w:val="single" w:sz="4" w:space="0" w:color="auto"/>
            </w:tcBorders>
            <w:shd w:val="clear" w:color="000000" w:fill="BDD7EE"/>
            <w:noWrap/>
            <w:vAlign w:val="center"/>
          </w:tcPr>
          <w:p w14:paraId="68211F05"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right w:val="single" w:sz="8" w:space="0" w:color="auto"/>
            </w:tcBorders>
            <w:shd w:val="clear" w:color="000000" w:fill="BDD7EE"/>
            <w:noWrap/>
            <w:vAlign w:val="center"/>
          </w:tcPr>
          <w:p w14:paraId="59AFEEDD"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right w:val="single" w:sz="4" w:space="0" w:color="auto"/>
            </w:tcBorders>
            <w:shd w:val="clear" w:color="000000" w:fill="BDD7EE"/>
            <w:noWrap/>
            <w:vAlign w:val="center"/>
          </w:tcPr>
          <w:p w14:paraId="4D6B6B4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0,2</w:t>
            </w:r>
          </w:p>
        </w:tc>
        <w:tc>
          <w:tcPr>
            <w:tcW w:w="567" w:type="dxa"/>
            <w:tcBorders>
              <w:top w:val="nil"/>
              <w:left w:val="nil"/>
              <w:right w:val="single" w:sz="4" w:space="0" w:color="auto"/>
            </w:tcBorders>
            <w:shd w:val="clear" w:color="000000" w:fill="BDD7EE"/>
            <w:noWrap/>
            <w:vAlign w:val="center"/>
          </w:tcPr>
          <w:p w14:paraId="2CFF5836"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right w:val="single" w:sz="8" w:space="0" w:color="auto"/>
            </w:tcBorders>
            <w:shd w:val="clear" w:color="000000" w:fill="BDD7EE"/>
            <w:noWrap/>
            <w:vAlign w:val="center"/>
          </w:tcPr>
          <w:p w14:paraId="5AE7EC27"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b/>
                <w:bCs/>
                <w:sz w:val="18"/>
                <w:szCs w:val="18"/>
              </w:rPr>
              <w:t>0,2</w:t>
            </w:r>
          </w:p>
        </w:tc>
        <w:tc>
          <w:tcPr>
            <w:tcW w:w="1417" w:type="dxa"/>
            <w:tcBorders>
              <w:top w:val="nil"/>
              <w:left w:val="nil"/>
              <w:right w:val="single" w:sz="8" w:space="0" w:color="auto"/>
            </w:tcBorders>
            <w:shd w:val="clear" w:color="000000" w:fill="BDD7EE"/>
            <w:vAlign w:val="center"/>
          </w:tcPr>
          <w:p w14:paraId="0E5B7A8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p>
        </w:tc>
        <w:tc>
          <w:tcPr>
            <w:tcW w:w="567" w:type="dxa"/>
            <w:tcBorders>
              <w:top w:val="nil"/>
              <w:left w:val="nil"/>
              <w:right w:val="single" w:sz="4" w:space="0" w:color="auto"/>
            </w:tcBorders>
            <w:shd w:val="clear" w:color="000000" w:fill="BDD7EE"/>
            <w:noWrap/>
            <w:vAlign w:val="center"/>
          </w:tcPr>
          <w:p w14:paraId="66781ECD"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0,5</w:t>
            </w:r>
          </w:p>
        </w:tc>
        <w:tc>
          <w:tcPr>
            <w:tcW w:w="551" w:type="dxa"/>
            <w:tcBorders>
              <w:top w:val="nil"/>
              <w:left w:val="nil"/>
              <w:right w:val="single" w:sz="4" w:space="0" w:color="auto"/>
            </w:tcBorders>
            <w:shd w:val="clear" w:color="000000" w:fill="BDD7EE"/>
            <w:noWrap/>
            <w:vAlign w:val="center"/>
          </w:tcPr>
          <w:p w14:paraId="29427A30"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szCs w:val="18"/>
              </w:rPr>
              <w:t>0,4</w:t>
            </w:r>
          </w:p>
        </w:tc>
        <w:tc>
          <w:tcPr>
            <w:tcW w:w="852" w:type="dxa"/>
            <w:tcBorders>
              <w:top w:val="nil"/>
              <w:left w:val="nil"/>
              <w:right w:val="single" w:sz="8" w:space="0" w:color="auto"/>
            </w:tcBorders>
            <w:shd w:val="clear" w:color="000000" w:fill="BDD7EE"/>
            <w:noWrap/>
            <w:vAlign w:val="center"/>
          </w:tcPr>
          <w:p w14:paraId="76564380"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sz w:val="18"/>
                <w:szCs w:val="18"/>
              </w:rPr>
              <w:t>0,9</w:t>
            </w:r>
          </w:p>
        </w:tc>
        <w:tc>
          <w:tcPr>
            <w:tcW w:w="850" w:type="dxa"/>
            <w:tcBorders>
              <w:top w:val="nil"/>
              <w:left w:val="nil"/>
              <w:right w:val="single" w:sz="8" w:space="0" w:color="auto"/>
            </w:tcBorders>
            <w:shd w:val="clear" w:color="000000" w:fill="BDD7EE"/>
            <w:vAlign w:val="center"/>
          </w:tcPr>
          <w:p w14:paraId="66686AF3"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1,1</w:t>
            </w:r>
          </w:p>
        </w:tc>
        <w:tc>
          <w:tcPr>
            <w:tcW w:w="866" w:type="dxa"/>
            <w:tcBorders>
              <w:top w:val="nil"/>
              <w:left w:val="nil"/>
              <w:right w:val="single" w:sz="8" w:space="0" w:color="auto"/>
            </w:tcBorders>
            <w:shd w:val="clear" w:color="000000" w:fill="BDD7EE"/>
            <w:vAlign w:val="center"/>
          </w:tcPr>
          <w:p w14:paraId="4EDBEA62" w14:textId="1D98CD70"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10</w:t>
            </w:r>
            <w:r w:rsidRPr="00A467B6">
              <w:rPr>
                <w:rFonts w:ascii="Times New Roman" w:hAnsi="Times New Roman"/>
                <w:b/>
                <w:bCs/>
                <w:color w:val="000000"/>
                <w:sz w:val="18"/>
                <w:szCs w:val="18"/>
              </w:rPr>
              <w:t>0</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right w:val="single" w:sz="8" w:space="0" w:color="auto"/>
            </w:tcBorders>
            <w:shd w:val="clear" w:color="000000" w:fill="BDD7EE"/>
            <w:vAlign w:val="center"/>
          </w:tcPr>
          <w:p w14:paraId="65BB7FF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14,8</w:t>
            </w:r>
          </w:p>
        </w:tc>
        <w:tc>
          <w:tcPr>
            <w:tcW w:w="993" w:type="dxa"/>
            <w:tcBorders>
              <w:top w:val="nil"/>
              <w:left w:val="nil"/>
              <w:right w:val="single" w:sz="8" w:space="0" w:color="auto"/>
            </w:tcBorders>
            <w:shd w:val="clear" w:color="000000" w:fill="BDD7EE"/>
            <w:vAlign w:val="center"/>
          </w:tcPr>
          <w:p w14:paraId="65297382"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0,0</w:t>
            </w:r>
          </w:p>
        </w:tc>
      </w:tr>
      <w:tr w:rsidR="009D29AB" w:rsidRPr="009D29AB" w14:paraId="31A08090" w14:textId="77777777" w:rsidTr="00FB1D87">
        <w:trPr>
          <w:trHeight w:val="300"/>
        </w:trPr>
        <w:tc>
          <w:tcPr>
            <w:tcW w:w="1101" w:type="dxa"/>
            <w:tcBorders>
              <w:top w:val="nil"/>
              <w:left w:val="single" w:sz="8" w:space="0" w:color="auto"/>
              <w:bottom w:val="single" w:sz="8" w:space="0" w:color="auto"/>
              <w:right w:val="single" w:sz="8" w:space="0" w:color="auto"/>
            </w:tcBorders>
            <w:shd w:val="clear" w:color="auto" w:fill="auto"/>
            <w:noWrap/>
            <w:vAlign w:val="center"/>
          </w:tcPr>
          <w:p w14:paraId="194E4DC9" w14:textId="77777777" w:rsidR="009D29AB" w:rsidRPr="009D29AB" w:rsidRDefault="009D29AB" w:rsidP="009D29AB">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Słowacja</w:t>
            </w:r>
          </w:p>
        </w:tc>
        <w:tc>
          <w:tcPr>
            <w:tcW w:w="1134" w:type="dxa"/>
            <w:tcBorders>
              <w:top w:val="nil"/>
              <w:left w:val="nil"/>
              <w:bottom w:val="single" w:sz="8" w:space="0" w:color="auto"/>
              <w:right w:val="nil"/>
            </w:tcBorders>
            <w:shd w:val="clear" w:color="auto" w:fill="auto"/>
            <w:noWrap/>
            <w:vAlign w:val="center"/>
          </w:tcPr>
          <w:p w14:paraId="6C0AE57F"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sz w:val="18"/>
              </w:rPr>
              <w:t>0,63</w:t>
            </w:r>
          </w:p>
        </w:tc>
        <w:tc>
          <w:tcPr>
            <w:tcW w:w="567" w:type="dxa"/>
            <w:tcBorders>
              <w:top w:val="nil"/>
              <w:left w:val="single" w:sz="8" w:space="0" w:color="auto"/>
              <w:bottom w:val="single" w:sz="8" w:space="0" w:color="auto"/>
              <w:right w:val="single" w:sz="4" w:space="0" w:color="auto"/>
            </w:tcBorders>
            <w:shd w:val="clear" w:color="auto" w:fill="auto"/>
            <w:noWrap/>
            <w:vAlign w:val="center"/>
          </w:tcPr>
          <w:p w14:paraId="791322E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single" w:sz="8" w:space="0" w:color="auto"/>
              <w:right w:val="single" w:sz="4" w:space="0" w:color="auto"/>
            </w:tcBorders>
            <w:shd w:val="clear" w:color="auto" w:fill="auto"/>
            <w:noWrap/>
            <w:vAlign w:val="center"/>
          </w:tcPr>
          <w:p w14:paraId="6E3016F1"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0" w:type="dxa"/>
            <w:tcBorders>
              <w:top w:val="nil"/>
              <w:left w:val="nil"/>
              <w:bottom w:val="single" w:sz="8" w:space="0" w:color="auto"/>
              <w:right w:val="single" w:sz="8" w:space="0" w:color="auto"/>
            </w:tcBorders>
            <w:shd w:val="clear" w:color="auto" w:fill="auto"/>
            <w:noWrap/>
            <w:vAlign w:val="center"/>
          </w:tcPr>
          <w:p w14:paraId="45ED1FF3"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single" w:sz="8" w:space="0" w:color="auto"/>
              <w:right w:val="single" w:sz="4" w:space="0" w:color="auto"/>
            </w:tcBorders>
            <w:shd w:val="clear" w:color="auto" w:fill="auto"/>
            <w:noWrap/>
            <w:vAlign w:val="center"/>
          </w:tcPr>
          <w:p w14:paraId="34EF859E"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67" w:type="dxa"/>
            <w:tcBorders>
              <w:top w:val="nil"/>
              <w:left w:val="nil"/>
              <w:bottom w:val="single" w:sz="8" w:space="0" w:color="auto"/>
              <w:right w:val="single" w:sz="4" w:space="0" w:color="auto"/>
            </w:tcBorders>
            <w:shd w:val="clear" w:color="auto" w:fill="auto"/>
            <w:noWrap/>
            <w:vAlign w:val="center"/>
          </w:tcPr>
          <w:p w14:paraId="63E5DE28"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8" w:space="0" w:color="auto"/>
              <w:right w:val="single" w:sz="8" w:space="0" w:color="auto"/>
            </w:tcBorders>
            <w:shd w:val="clear" w:color="auto" w:fill="auto"/>
            <w:noWrap/>
            <w:vAlign w:val="center"/>
          </w:tcPr>
          <w:p w14:paraId="0488839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14:paraId="042E0B22"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567" w:type="dxa"/>
            <w:tcBorders>
              <w:top w:val="nil"/>
              <w:left w:val="nil"/>
              <w:bottom w:val="single" w:sz="8" w:space="0" w:color="auto"/>
              <w:right w:val="single" w:sz="4" w:space="0" w:color="auto"/>
            </w:tcBorders>
            <w:shd w:val="clear" w:color="auto" w:fill="auto"/>
            <w:noWrap/>
            <w:vAlign w:val="center"/>
          </w:tcPr>
          <w:p w14:paraId="756DDCCF"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551" w:type="dxa"/>
            <w:tcBorders>
              <w:top w:val="nil"/>
              <w:left w:val="nil"/>
              <w:bottom w:val="single" w:sz="8" w:space="0" w:color="auto"/>
              <w:right w:val="single" w:sz="4" w:space="0" w:color="auto"/>
            </w:tcBorders>
            <w:shd w:val="clear" w:color="auto" w:fill="auto"/>
            <w:noWrap/>
            <w:vAlign w:val="center"/>
          </w:tcPr>
          <w:p w14:paraId="12BCD9A7" w14:textId="77777777" w:rsidR="009D29AB" w:rsidRPr="009D29AB" w:rsidRDefault="009D29AB" w:rsidP="009D29AB">
            <w:pPr>
              <w:spacing w:after="0" w:line="240" w:lineRule="auto"/>
              <w:jc w:val="center"/>
              <w:rPr>
                <w:rFonts w:ascii="Times New Roman" w:hAnsi="Times New Roman" w:cs="Times New Roman"/>
                <w:color w:val="000000"/>
                <w:sz w:val="18"/>
                <w:szCs w:val="18"/>
              </w:rPr>
            </w:pPr>
          </w:p>
        </w:tc>
        <w:tc>
          <w:tcPr>
            <w:tcW w:w="852" w:type="dxa"/>
            <w:tcBorders>
              <w:top w:val="nil"/>
              <w:left w:val="nil"/>
              <w:bottom w:val="single" w:sz="8" w:space="0" w:color="auto"/>
              <w:right w:val="single" w:sz="8" w:space="0" w:color="auto"/>
            </w:tcBorders>
            <w:shd w:val="clear" w:color="auto" w:fill="auto"/>
            <w:noWrap/>
            <w:vAlign w:val="center"/>
          </w:tcPr>
          <w:p w14:paraId="71F6973C"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1C14C22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0,3</w:t>
            </w:r>
          </w:p>
        </w:tc>
        <w:tc>
          <w:tcPr>
            <w:tcW w:w="866" w:type="dxa"/>
            <w:tcBorders>
              <w:top w:val="nil"/>
              <w:left w:val="nil"/>
              <w:bottom w:val="single" w:sz="8" w:space="0" w:color="auto"/>
              <w:right w:val="single" w:sz="8" w:space="0" w:color="auto"/>
            </w:tcBorders>
            <w:shd w:val="clear" w:color="auto" w:fill="auto"/>
            <w:vAlign w:val="center"/>
          </w:tcPr>
          <w:p w14:paraId="6368EE44" w14:textId="5640A9E2"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4</w:t>
            </w:r>
            <w:r w:rsidRPr="00A467B6">
              <w:rPr>
                <w:rFonts w:ascii="Times New Roman" w:hAnsi="Times New Roman"/>
                <w:b/>
                <w:bCs/>
                <w:color w:val="000000"/>
                <w:sz w:val="18"/>
                <w:szCs w:val="18"/>
              </w:rPr>
              <w:t>8</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nil"/>
              <w:left w:val="nil"/>
              <w:bottom w:val="single" w:sz="8" w:space="0" w:color="auto"/>
              <w:right w:val="single" w:sz="8" w:space="0" w:color="auto"/>
            </w:tcBorders>
            <w:shd w:val="clear" w:color="auto" w:fill="auto"/>
            <w:vAlign w:val="center"/>
          </w:tcPr>
          <w:p w14:paraId="4B8984F6"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14,6</w:t>
            </w:r>
          </w:p>
        </w:tc>
        <w:tc>
          <w:tcPr>
            <w:tcW w:w="993" w:type="dxa"/>
            <w:tcBorders>
              <w:top w:val="nil"/>
              <w:left w:val="nil"/>
              <w:bottom w:val="single" w:sz="8" w:space="0" w:color="auto"/>
              <w:right w:val="single" w:sz="8" w:space="0" w:color="auto"/>
            </w:tcBorders>
            <w:shd w:val="clear" w:color="auto" w:fill="auto"/>
            <w:vAlign w:val="center"/>
          </w:tcPr>
          <w:p w14:paraId="75BEBE89" w14:textId="77777777" w:rsidR="009D29AB" w:rsidRPr="009D29AB" w:rsidRDefault="009D29AB" w:rsidP="009D29AB">
            <w:pPr>
              <w:spacing w:after="0" w:line="240" w:lineRule="auto"/>
              <w:jc w:val="center"/>
              <w:rPr>
                <w:rFonts w:ascii="Times New Roman" w:hAnsi="Times New Roman" w:cs="Times New Roman"/>
                <w:color w:val="000000"/>
                <w:sz w:val="18"/>
                <w:szCs w:val="18"/>
              </w:rPr>
            </w:pPr>
            <w:r>
              <w:rPr>
                <w:rFonts w:ascii="Times New Roman" w:hAnsi="Times New Roman"/>
                <w:color w:val="000000"/>
                <w:sz w:val="18"/>
                <w:szCs w:val="18"/>
              </w:rPr>
              <w:t>0,3</w:t>
            </w:r>
          </w:p>
        </w:tc>
      </w:tr>
      <w:tr w:rsidR="00FB1D87" w:rsidRPr="009D29AB" w14:paraId="3449285B" w14:textId="77777777" w:rsidTr="00FB1D87">
        <w:trPr>
          <w:trHeight w:val="290"/>
        </w:trPr>
        <w:tc>
          <w:tcPr>
            <w:tcW w:w="1101"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14:paraId="7570D246" w14:textId="77777777" w:rsidR="009D29AB" w:rsidRPr="009D29AB" w:rsidRDefault="009D29AB" w:rsidP="009D29AB">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Ogółem</w:t>
            </w:r>
          </w:p>
        </w:tc>
        <w:tc>
          <w:tcPr>
            <w:tcW w:w="1134"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043FCFF4"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90,3</w:t>
            </w:r>
          </w:p>
        </w:tc>
        <w:tc>
          <w:tcPr>
            <w:tcW w:w="56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F1975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56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EB68EAD"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7,0</w:t>
            </w:r>
          </w:p>
        </w:tc>
        <w:tc>
          <w:tcPr>
            <w:tcW w:w="850"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C8C4C0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17,0</w:t>
            </w:r>
          </w:p>
        </w:tc>
        <w:tc>
          <w:tcPr>
            <w:tcW w:w="56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D4E7A52"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8,0</w:t>
            </w:r>
          </w:p>
        </w:tc>
        <w:tc>
          <w:tcPr>
            <w:tcW w:w="56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66B76F5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6,0</w:t>
            </w:r>
          </w:p>
        </w:tc>
        <w:tc>
          <w:tcPr>
            <w:tcW w:w="8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36FE07"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141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26BC0678"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8,5</w:t>
            </w:r>
          </w:p>
        </w:tc>
        <w:tc>
          <w:tcPr>
            <w:tcW w:w="567"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1650FEB7"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10,0</w:t>
            </w:r>
          </w:p>
        </w:tc>
        <w:tc>
          <w:tcPr>
            <w:tcW w:w="5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C487325"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4,0</w:t>
            </w:r>
          </w:p>
        </w:tc>
        <w:tc>
          <w:tcPr>
            <w:tcW w:w="852"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27622EA"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14,0</w:t>
            </w:r>
          </w:p>
        </w:tc>
        <w:tc>
          <w:tcPr>
            <w:tcW w:w="850"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492647FE"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53,5</w:t>
            </w:r>
          </w:p>
        </w:tc>
        <w:tc>
          <w:tcPr>
            <w:tcW w:w="866"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5CA4C512" w14:textId="78CE64D9"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5</w:t>
            </w:r>
            <w:r w:rsidRPr="00A467B6">
              <w:rPr>
                <w:rFonts w:ascii="Times New Roman" w:hAnsi="Times New Roman"/>
                <w:b/>
                <w:bCs/>
                <w:color w:val="000000"/>
                <w:sz w:val="18"/>
                <w:szCs w:val="18"/>
              </w:rPr>
              <w:t>9</w:t>
            </w:r>
            <w:r w:rsidR="00A467B6" w:rsidRPr="00A467B6">
              <w:rPr>
                <w:rFonts w:ascii="Times New Roman" w:hAnsi="Times New Roman"/>
                <w:b/>
                <w:bCs/>
                <w:color w:val="000000"/>
                <w:sz w:val="18"/>
                <w:szCs w:val="18"/>
              </w:rPr>
              <w:t> </w:t>
            </w:r>
            <w:r w:rsidRPr="00A467B6">
              <w:rPr>
                <w:rFonts w:ascii="Times New Roman" w:hAnsi="Times New Roman"/>
                <w:b/>
                <w:bCs/>
                <w:color w:val="000000"/>
                <w:sz w:val="18"/>
                <w:szCs w:val="18"/>
              </w:rPr>
              <w:t>%</w:t>
            </w:r>
          </w:p>
        </w:tc>
        <w:tc>
          <w:tcPr>
            <w:tcW w:w="127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hideMark/>
          </w:tcPr>
          <w:p w14:paraId="38292FA9" w14:textId="77777777" w:rsidR="009D29AB" w:rsidRPr="009D29AB" w:rsidRDefault="009D29AB" w:rsidP="009D29AB">
            <w:pPr>
              <w:spacing w:after="0" w:line="240" w:lineRule="auto"/>
              <w:jc w:val="center"/>
              <w:rPr>
                <w:rFonts w:ascii="Times New Roman" w:hAnsi="Times New Roman" w:cs="Times New Roman"/>
                <w:b/>
                <w:bCs/>
                <w:color w:val="000000"/>
                <w:sz w:val="18"/>
                <w:szCs w:val="18"/>
              </w:rPr>
            </w:pPr>
            <w:r>
              <w:rPr>
                <w:rFonts w:ascii="Times New Roman" w:hAnsi="Times New Roman"/>
                <w:b/>
                <w:bCs/>
                <w:color w:val="000000"/>
                <w:sz w:val="18"/>
                <w:szCs w:val="18"/>
              </w:rPr>
              <w:t>14,5</w:t>
            </w:r>
          </w:p>
        </w:tc>
        <w:tc>
          <w:tcPr>
            <w:tcW w:w="993"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1F16445B" w14:textId="77777777" w:rsidR="009D29AB" w:rsidRPr="009D29AB" w:rsidRDefault="009D29AB" w:rsidP="009D29AB">
            <w:pPr>
              <w:spacing w:after="0" w:line="240" w:lineRule="auto"/>
              <w:jc w:val="center"/>
              <w:rPr>
                <w:rFonts w:ascii="Times New Roman" w:hAnsi="Times New Roman" w:cs="Times New Roman"/>
                <w:b/>
                <w:color w:val="000000"/>
                <w:sz w:val="18"/>
                <w:szCs w:val="18"/>
              </w:rPr>
            </w:pPr>
            <w:r>
              <w:rPr>
                <w:rFonts w:ascii="Times New Roman" w:hAnsi="Times New Roman"/>
                <w:b/>
                <w:color w:val="000000"/>
                <w:sz w:val="18"/>
                <w:szCs w:val="18"/>
              </w:rPr>
              <w:t>36,8</w:t>
            </w:r>
          </w:p>
        </w:tc>
      </w:tr>
    </w:tbl>
    <w:p w14:paraId="759E07F7" w14:textId="77777777" w:rsidR="009D29AB" w:rsidRPr="009D29AB" w:rsidRDefault="009D29AB" w:rsidP="009D29AB">
      <w:pPr>
        <w:rPr>
          <w:rFonts w:ascii="Times New Roman" w:hAnsi="Times New Roman" w:cs="Times New Roman"/>
        </w:rPr>
      </w:pPr>
      <w:r>
        <w:br w:type="page"/>
      </w:r>
    </w:p>
    <w:p w14:paraId="4AA497ED" w14:textId="77777777" w:rsidR="009D29AB" w:rsidRPr="009D29AB" w:rsidRDefault="009D29AB" w:rsidP="009D29AB">
      <w:pPr>
        <w:framePr w:w="15168" w:wrap="auto" w:hAnchor="text"/>
        <w:rPr>
          <w:rFonts w:ascii="Times New Roman" w:hAnsi="Times New Roman" w:cs="Times New Roman"/>
          <w:b/>
          <w:smallCaps/>
        </w:rPr>
        <w:sectPr w:rsidR="009D29AB" w:rsidRPr="009D29AB" w:rsidSect="00D61F7B">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08" w:footer="708" w:gutter="0"/>
          <w:cols w:space="708"/>
          <w:docGrid w:linePitch="360"/>
        </w:sectPr>
      </w:pPr>
    </w:p>
    <w:p w14:paraId="2765290E" w14:textId="39A9AF26"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Wykorzystywanie SURE: wydatki publiczne</w:t>
      </w:r>
      <w:r w:rsidR="00A467B6">
        <w:rPr>
          <w:rFonts w:ascii="Times New Roman" w:hAnsi="Times New Roman"/>
          <w:b/>
          <w:smallCaps/>
          <w:sz w:val="24"/>
          <w:szCs w:val="20"/>
        </w:rPr>
        <w:t xml:space="preserve"> i śro</w:t>
      </w:r>
      <w:r>
        <w:rPr>
          <w:rFonts w:ascii="Times New Roman" w:hAnsi="Times New Roman"/>
          <w:b/>
          <w:smallCaps/>
          <w:sz w:val="24"/>
          <w:szCs w:val="20"/>
        </w:rPr>
        <w:t>dki krajowe objęte zakresem stosowania SURE</w:t>
      </w:r>
    </w:p>
    <w:p w14:paraId="6EE4BC46" w14:textId="1585B3A1" w:rsidR="009D29AB" w:rsidRPr="009D29AB" w:rsidRDefault="009D29AB" w:rsidP="009D29AB">
      <w:pPr>
        <w:spacing w:before="120" w:after="120"/>
        <w:jc w:val="both"/>
        <w:rPr>
          <w:rFonts w:ascii="Times New Roman" w:hAnsi="Times New Roman" w:cs="Times New Roman"/>
          <w:color w:val="000000" w:themeColor="text1"/>
        </w:rPr>
      </w:pPr>
      <w:r>
        <w:rPr>
          <w:rFonts w:ascii="Times New Roman" w:hAnsi="Times New Roman"/>
          <w:sz w:val="24"/>
        </w:rPr>
        <w:t>Niniejsza sekcja zawiera podsumowanie wydatków publicznych</w:t>
      </w:r>
      <w:r w:rsidR="00A467B6">
        <w:rPr>
          <w:rFonts w:ascii="Times New Roman" w:hAnsi="Times New Roman"/>
          <w:sz w:val="24"/>
        </w:rPr>
        <w:t xml:space="preserve"> i śro</w:t>
      </w:r>
      <w:r>
        <w:rPr>
          <w:rFonts w:ascii="Times New Roman" w:hAnsi="Times New Roman"/>
          <w:sz w:val="24"/>
        </w:rPr>
        <w:t>dków krajowych państw członkowskich objętych zakresem stosowania SURE.</w:t>
      </w:r>
    </w:p>
    <w:p w14:paraId="5817C07D" w14:textId="5C76C479" w:rsidR="009D29AB" w:rsidRPr="009D29AB" w:rsidRDefault="009D29AB" w:rsidP="00D61F7B">
      <w:pPr>
        <w:spacing w:after="80" w:line="240" w:lineRule="auto"/>
        <w:ind w:left="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3.1 Faktyczne</w:t>
      </w:r>
      <w:r w:rsidR="00A467B6">
        <w:rPr>
          <w:rFonts w:ascii="Times New Roman" w:hAnsi="Times New Roman"/>
          <w:i/>
          <w:color w:val="000000" w:themeColor="text1"/>
          <w:sz w:val="24"/>
          <w:szCs w:val="24"/>
        </w:rPr>
        <w:t xml:space="preserve"> i pla</w:t>
      </w:r>
      <w:r>
        <w:rPr>
          <w:rFonts w:ascii="Times New Roman" w:hAnsi="Times New Roman"/>
          <w:i/>
          <w:color w:val="000000" w:themeColor="text1"/>
          <w:sz w:val="24"/>
          <w:szCs w:val="24"/>
        </w:rPr>
        <w:t>nowane wydatki publiczne objęte wsparciem</w:t>
      </w:r>
      <w:r w:rsidR="00A467B6">
        <w:rPr>
          <w:rFonts w:ascii="Times New Roman" w:hAnsi="Times New Roman"/>
          <w:i/>
          <w:color w:val="000000" w:themeColor="text1"/>
          <w:sz w:val="24"/>
          <w:szCs w:val="24"/>
        </w:rPr>
        <w:t xml:space="preserve"> w ram</w:t>
      </w:r>
      <w:r>
        <w:rPr>
          <w:rFonts w:ascii="Times New Roman" w:hAnsi="Times New Roman"/>
          <w:i/>
          <w:color w:val="000000" w:themeColor="text1"/>
          <w:sz w:val="24"/>
          <w:szCs w:val="24"/>
        </w:rPr>
        <w:t>ach SURE</w:t>
      </w:r>
    </w:p>
    <w:p w14:paraId="22406D61" w14:textId="22B8352B"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W sekcji tej przedstawiono planowane</w:t>
      </w:r>
      <w:r w:rsidR="00A467B6">
        <w:rPr>
          <w:rFonts w:ascii="Times New Roman" w:hAnsi="Times New Roman"/>
          <w:b/>
          <w:color w:val="000000" w:themeColor="text1"/>
          <w:sz w:val="24"/>
          <w:szCs w:val="24"/>
        </w:rPr>
        <w:t xml:space="preserve"> i fak</w:t>
      </w:r>
      <w:r>
        <w:rPr>
          <w:rFonts w:ascii="Times New Roman" w:hAnsi="Times New Roman"/>
          <w:b/>
          <w:color w:val="000000" w:themeColor="text1"/>
          <w:sz w:val="24"/>
          <w:szCs w:val="24"/>
        </w:rPr>
        <w:t>tyczne wykorzystanie pomocy finansowej przyznanej</w:t>
      </w:r>
      <w:r w:rsidR="00A467B6">
        <w:rPr>
          <w:rFonts w:ascii="Times New Roman" w:hAnsi="Times New Roman"/>
          <w:b/>
          <w:color w:val="000000" w:themeColor="text1"/>
          <w:sz w:val="24"/>
          <w:szCs w:val="24"/>
        </w:rPr>
        <w:t xml:space="preserve"> w ram</w:t>
      </w:r>
      <w:r>
        <w:rPr>
          <w:rFonts w:ascii="Times New Roman" w:hAnsi="Times New Roman"/>
          <w:b/>
          <w:color w:val="000000" w:themeColor="text1"/>
          <w:sz w:val="24"/>
          <w:szCs w:val="24"/>
        </w:rPr>
        <w:t>ach SURE na podstawie danych zgłoszonych Komisji przez 17 państw członkowskich.</w:t>
      </w:r>
      <w:r>
        <w:rPr>
          <w:rFonts w:ascii="Times New Roman" w:hAnsi="Times New Roman" w:cs="Times New Roman"/>
          <w:color w:val="000000" w:themeColor="text1"/>
          <w:sz w:val="24"/>
          <w:szCs w:val="24"/>
          <w:vertAlign w:val="superscript"/>
        </w:rPr>
        <w:footnoteReference w:id="18"/>
      </w:r>
      <w:r>
        <w:rPr>
          <w:rFonts w:ascii="Times New Roman" w:hAnsi="Times New Roman"/>
          <w:color w:val="000000" w:themeColor="text1"/>
          <w:sz w:val="24"/>
          <w:szCs w:val="24"/>
        </w:rPr>
        <w:t xml:space="preserve"> Państwa członkowskie korzystające</w:t>
      </w:r>
      <w:r w:rsidR="00A467B6">
        <w:rPr>
          <w:rFonts w:ascii="Times New Roman" w:hAnsi="Times New Roman"/>
          <w:color w:val="000000" w:themeColor="text1"/>
          <w:sz w:val="24"/>
          <w:szCs w:val="24"/>
        </w:rPr>
        <w:t xml:space="preserve"> z pom</w:t>
      </w:r>
      <w:r>
        <w:rPr>
          <w:rFonts w:ascii="Times New Roman" w:hAnsi="Times New Roman"/>
          <w:color w:val="000000" w:themeColor="text1"/>
          <w:sz w:val="24"/>
          <w:szCs w:val="24"/>
        </w:rPr>
        <w:t>ocy finansowej</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powinny wykorzystywać ją przede wszystkim do wsparcia swoich mechanizmów zmniejszonego wymiaru czasu pracy lub podobnych środków, zwłaszcza dla osób samozatrudnionych,</w:t>
      </w:r>
      <w:r w:rsidR="00A467B6">
        <w:rPr>
          <w:rFonts w:ascii="Times New Roman" w:hAnsi="Times New Roman"/>
          <w:color w:val="000000" w:themeColor="text1"/>
          <w:sz w:val="24"/>
          <w:szCs w:val="24"/>
        </w:rPr>
        <w:t xml:space="preserve"> a w sto</w:t>
      </w:r>
      <w:r>
        <w:rPr>
          <w:rFonts w:ascii="Times New Roman" w:hAnsi="Times New Roman"/>
          <w:color w:val="000000" w:themeColor="text1"/>
          <w:sz w:val="24"/>
          <w:szCs w:val="24"/>
        </w:rPr>
        <w:t>sownych przypadkach – do wsparcia odpowiednich środków ochrony zdrowia, szczególnie środków</w:t>
      </w:r>
      <w:r w:rsidR="00A467B6">
        <w:rPr>
          <w:rFonts w:ascii="Times New Roman" w:hAnsi="Times New Roman"/>
          <w:color w:val="000000" w:themeColor="text1"/>
          <w:sz w:val="24"/>
          <w:szCs w:val="24"/>
        </w:rPr>
        <w:t xml:space="preserve"> w mie</w:t>
      </w:r>
      <w:r>
        <w:rPr>
          <w:rFonts w:ascii="Times New Roman" w:hAnsi="Times New Roman"/>
          <w:color w:val="000000" w:themeColor="text1"/>
          <w:sz w:val="24"/>
          <w:szCs w:val="24"/>
        </w:rPr>
        <w:t>jscu pracy</w:t>
      </w:r>
      <w:r>
        <w:rPr>
          <w:rFonts w:ascii="Times New Roman" w:hAnsi="Times New Roman" w:cs="Times New Roman"/>
          <w:color w:val="000000" w:themeColor="text1"/>
          <w:sz w:val="24"/>
          <w:szCs w:val="24"/>
          <w:vertAlign w:val="superscript"/>
        </w:rPr>
        <w:footnoteReference w:id="19"/>
      </w:r>
      <w:r>
        <w:rPr>
          <w:rFonts w:ascii="Times New Roman" w:hAnsi="Times New Roman"/>
          <w:color w:val="000000" w:themeColor="text1"/>
          <w:sz w:val="24"/>
          <w:szCs w:val="24"/>
        </w:rPr>
        <w:t>. Najpierw zostanie przedstawiony przydział wydatków publicznych,</w:t>
      </w:r>
      <w:r w:rsidR="00A467B6">
        <w:rPr>
          <w:rFonts w:ascii="Times New Roman" w:hAnsi="Times New Roman"/>
          <w:color w:val="000000" w:themeColor="text1"/>
          <w:sz w:val="24"/>
          <w:szCs w:val="24"/>
        </w:rPr>
        <w:t xml:space="preserve"> a nas</w:t>
      </w:r>
      <w:r>
        <w:rPr>
          <w:rFonts w:ascii="Times New Roman" w:hAnsi="Times New Roman"/>
          <w:color w:val="000000" w:themeColor="text1"/>
          <w:sz w:val="24"/>
          <w:szCs w:val="24"/>
        </w:rPr>
        <w:t>tępnie przedstawiona zostanie</w:t>
      </w:r>
      <w:r>
        <w:rPr>
          <w:rFonts w:ascii="Times New Roman" w:hAnsi="Times New Roman"/>
          <w:color w:val="000000" w:themeColor="text1"/>
          <w:sz w:val="24"/>
        </w:rPr>
        <w:t xml:space="preserve"> </w:t>
      </w:r>
      <w:r>
        <w:rPr>
          <w:rFonts w:ascii="Times New Roman" w:hAnsi="Times New Roman"/>
          <w:color w:val="000000" w:themeColor="text1"/>
          <w:sz w:val="24"/>
          <w:szCs w:val="24"/>
        </w:rPr>
        <w:t>szacunkowa liczba pracowników</w:t>
      </w:r>
      <w:r w:rsidR="00A467B6">
        <w:rPr>
          <w:rFonts w:ascii="Times New Roman" w:hAnsi="Times New Roman"/>
          <w:color w:val="000000" w:themeColor="text1"/>
          <w:sz w:val="24"/>
          <w:szCs w:val="24"/>
        </w:rPr>
        <w:t xml:space="preserve"> i prz</w:t>
      </w:r>
      <w:r>
        <w:rPr>
          <w:rFonts w:ascii="Times New Roman" w:hAnsi="Times New Roman"/>
          <w:color w:val="000000" w:themeColor="text1"/>
          <w:sz w:val="24"/>
          <w:szCs w:val="24"/>
        </w:rPr>
        <w:t>edsiębiorstw objętych SURE. Dane zostaną zaprezentowane na podstawie dwóch iteracji sprawozdań przedstawionych przez państwa członkowskie: sprawozdań przedstawionych</w:t>
      </w:r>
      <w:r w:rsidR="00A467B6">
        <w:rPr>
          <w:rFonts w:ascii="Times New Roman" w:hAnsi="Times New Roman"/>
          <w:color w:val="000000" w:themeColor="text1"/>
          <w:sz w:val="24"/>
          <w:szCs w:val="24"/>
        </w:rPr>
        <w:t xml:space="preserve"> w sie</w:t>
      </w:r>
      <w:r>
        <w:rPr>
          <w:rFonts w:ascii="Times New Roman" w:hAnsi="Times New Roman"/>
          <w:color w:val="000000" w:themeColor="text1"/>
          <w:sz w:val="24"/>
          <w:szCs w:val="24"/>
        </w:rPr>
        <w:t>rpniu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przy składaniu wniosku</w:t>
      </w:r>
      <w:r w:rsidR="00A467B6">
        <w:rPr>
          <w:rFonts w:ascii="Times New Roman" w:hAnsi="Times New Roman"/>
          <w:color w:val="000000" w:themeColor="text1"/>
          <w:sz w:val="24"/>
          <w:szCs w:val="24"/>
        </w:rPr>
        <w:t xml:space="preserve"> o udz</w:t>
      </w:r>
      <w:r>
        <w:rPr>
          <w:rFonts w:ascii="Times New Roman" w:hAnsi="Times New Roman"/>
          <w:color w:val="000000" w:themeColor="text1"/>
          <w:sz w:val="24"/>
          <w:szCs w:val="24"/>
        </w:rPr>
        <w:t>ielenie pomocy finansowej</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(„wstępne sprawozdania”)</w:t>
      </w:r>
      <w:r w:rsidR="00A467B6">
        <w:rPr>
          <w:rFonts w:ascii="Times New Roman" w:hAnsi="Times New Roman"/>
          <w:color w:val="000000" w:themeColor="text1"/>
          <w:sz w:val="24"/>
          <w:szCs w:val="24"/>
        </w:rPr>
        <w:t xml:space="preserve"> i spr</w:t>
      </w:r>
      <w:r>
        <w:rPr>
          <w:rFonts w:ascii="Times New Roman" w:hAnsi="Times New Roman"/>
          <w:color w:val="000000" w:themeColor="text1"/>
          <w:sz w:val="24"/>
          <w:szCs w:val="24"/>
        </w:rPr>
        <w:t>awozdań przedstawionych ponownie na przełomie stycznia</w:t>
      </w:r>
      <w:r w:rsidR="00A467B6">
        <w:rPr>
          <w:rFonts w:ascii="Times New Roman" w:hAnsi="Times New Roman"/>
          <w:color w:val="000000" w:themeColor="text1"/>
          <w:sz w:val="24"/>
          <w:szCs w:val="24"/>
        </w:rPr>
        <w:t xml:space="preserve"> i lut</w:t>
      </w:r>
      <w:r>
        <w:rPr>
          <w:rFonts w:ascii="Times New Roman" w:hAnsi="Times New Roman"/>
          <w:color w:val="000000" w:themeColor="text1"/>
          <w:sz w:val="24"/>
          <w:szCs w:val="24"/>
        </w:rPr>
        <w:t>ego 20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(„zaktualizowane sprawozdania”). Przedstawione informacje odpowiadają informacjom zgłoszonym przez państwa członkowskie</w:t>
      </w:r>
      <w:r>
        <w:rPr>
          <w:rFonts w:ascii="Times New Roman" w:hAnsi="Times New Roman" w:cs="Times New Roman"/>
          <w:color w:val="000000" w:themeColor="text1"/>
          <w:sz w:val="24"/>
          <w:szCs w:val="24"/>
          <w:vertAlign w:val="superscript"/>
          <w:lang w:val="en-US"/>
        </w:rPr>
        <w:footnoteReference w:id="20"/>
      </w:r>
      <w:r>
        <w:rPr>
          <w:rFonts w:ascii="Times New Roman" w:hAnsi="Times New Roman"/>
          <w:color w:val="000000" w:themeColor="text1"/>
          <w:sz w:val="24"/>
          <w:szCs w:val="24"/>
        </w:rPr>
        <w:t>.</w:t>
      </w:r>
    </w:p>
    <w:p w14:paraId="1CB0E048" w14:textId="60A5857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Po pierwsze, do końca 20</w:t>
      </w:r>
      <w:r w:rsidRPr="00A467B6">
        <w:rPr>
          <w:rFonts w:ascii="Times New Roman" w:hAnsi="Times New Roman"/>
          <w:b/>
          <w:color w:val="000000" w:themeColor="text1"/>
          <w:sz w:val="24"/>
          <w:szCs w:val="24"/>
        </w:rPr>
        <w:t>20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zrealizowano już 8</w:t>
      </w:r>
      <w:r w:rsidRPr="00A467B6">
        <w:rPr>
          <w:rFonts w:ascii="Times New Roman" w:hAnsi="Times New Roman"/>
          <w:b/>
          <w:color w:val="000000" w:themeColor="text1"/>
          <w:sz w:val="24"/>
          <w:szCs w:val="24"/>
        </w:rPr>
        <w:t>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całkowitych planowanych wydatków publicznych na kwalifikujące się środki</w:t>
      </w:r>
      <w:r>
        <w:rPr>
          <w:rFonts w:ascii="Times New Roman" w:hAnsi="Times New Roman" w:cs="Times New Roman"/>
          <w:color w:val="000000" w:themeColor="text1"/>
          <w:sz w:val="24"/>
          <w:szCs w:val="24"/>
          <w:vertAlign w:val="superscript"/>
        </w:rPr>
        <w:footnoteReference w:id="21"/>
      </w:r>
      <w:r>
        <w:rPr>
          <w:rFonts w:ascii="Times New Roman" w:hAnsi="Times New Roman"/>
          <w:color w:val="000000" w:themeColor="text1"/>
          <w:sz w:val="24"/>
          <w:szCs w:val="24"/>
        </w:rPr>
        <w:t>. Pomoc finansową</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przyznano</w:t>
      </w:r>
      <w:r w:rsidR="00A467B6">
        <w:rPr>
          <w:rFonts w:ascii="Times New Roman" w:hAnsi="Times New Roman"/>
          <w:color w:val="000000" w:themeColor="text1"/>
          <w:sz w:val="24"/>
          <w:szCs w:val="24"/>
        </w:rPr>
        <w:t xml:space="preserve"> w cel</w:t>
      </w:r>
      <w:r>
        <w:rPr>
          <w:rFonts w:ascii="Times New Roman" w:hAnsi="Times New Roman"/>
          <w:color w:val="000000" w:themeColor="text1"/>
          <w:sz w:val="24"/>
          <w:szCs w:val="24"/>
        </w:rPr>
        <w:t>u wsparcia państw członkowskich</w:t>
      </w:r>
      <w:r w:rsidR="00A467B6">
        <w:rPr>
          <w:rFonts w:ascii="Times New Roman" w:hAnsi="Times New Roman"/>
          <w:color w:val="000000" w:themeColor="text1"/>
          <w:sz w:val="24"/>
          <w:szCs w:val="24"/>
        </w:rPr>
        <w:t xml:space="preserve"> w upo</w:t>
      </w:r>
      <w:r>
        <w:rPr>
          <w:rFonts w:ascii="Times New Roman" w:hAnsi="Times New Roman"/>
          <w:color w:val="000000" w:themeColor="text1"/>
          <w:sz w:val="24"/>
          <w:szCs w:val="24"/>
        </w:rPr>
        <w:t>raniu się</w:t>
      </w:r>
      <w:r w:rsidR="00A467B6">
        <w:rPr>
          <w:rFonts w:ascii="Times New Roman" w:hAnsi="Times New Roman"/>
          <w:color w:val="000000" w:themeColor="text1"/>
          <w:sz w:val="24"/>
          <w:szCs w:val="24"/>
        </w:rPr>
        <w:t xml:space="preserve"> z nag</w:t>
      </w:r>
      <w:r>
        <w:rPr>
          <w:rFonts w:ascii="Times New Roman" w:hAnsi="Times New Roman"/>
          <w:color w:val="000000" w:themeColor="text1"/>
          <w:sz w:val="24"/>
          <w:szCs w:val="24"/>
        </w:rPr>
        <w:t>łym</w:t>
      </w:r>
      <w:r w:rsidR="00A467B6">
        <w:rPr>
          <w:rFonts w:ascii="Times New Roman" w:hAnsi="Times New Roman"/>
          <w:color w:val="000000" w:themeColor="text1"/>
          <w:sz w:val="24"/>
          <w:szCs w:val="24"/>
        </w:rPr>
        <w:t xml:space="preserve"> i zna</w:t>
      </w:r>
      <w:r>
        <w:rPr>
          <w:rFonts w:ascii="Times New Roman" w:hAnsi="Times New Roman"/>
          <w:color w:val="000000" w:themeColor="text1"/>
          <w:sz w:val="24"/>
          <w:szCs w:val="24"/>
        </w:rPr>
        <w:t>cznym wzrostem faktycznych wydatków publicznych od dnia 1 lutego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sidR="00A467B6">
        <w:rPr>
          <w:rFonts w:ascii="Times New Roman" w:hAnsi="Times New Roman"/>
          <w:color w:val="000000" w:themeColor="text1"/>
          <w:sz w:val="24"/>
          <w:szCs w:val="24"/>
        </w:rPr>
        <w:t xml:space="preserve"> w zwi</w:t>
      </w:r>
      <w:r>
        <w:rPr>
          <w:rFonts w:ascii="Times New Roman" w:hAnsi="Times New Roman"/>
          <w:color w:val="000000" w:themeColor="text1"/>
          <w:sz w:val="24"/>
          <w:szCs w:val="24"/>
        </w:rPr>
        <w:t>ązku</w:t>
      </w:r>
      <w:r w:rsidR="00A467B6">
        <w:rPr>
          <w:rFonts w:ascii="Times New Roman" w:hAnsi="Times New Roman"/>
          <w:color w:val="000000" w:themeColor="text1"/>
          <w:sz w:val="24"/>
          <w:szCs w:val="24"/>
        </w:rPr>
        <w:t xml:space="preserve"> z wpr</w:t>
      </w:r>
      <w:r>
        <w:rPr>
          <w:rFonts w:ascii="Times New Roman" w:hAnsi="Times New Roman"/>
          <w:color w:val="000000" w:themeColor="text1"/>
          <w:sz w:val="24"/>
          <w:szCs w:val="24"/>
        </w:rPr>
        <w:t>owadzeniem mechanizmów zmniejszonego wymiaru czasu pracy</w:t>
      </w:r>
      <w:r w:rsidR="00A467B6">
        <w:rPr>
          <w:rFonts w:ascii="Times New Roman" w:hAnsi="Times New Roman"/>
          <w:color w:val="000000" w:themeColor="text1"/>
          <w:sz w:val="24"/>
          <w:szCs w:val="24"/>
        </w:rPr>
        <w:t xml:space="preserve"> i pod</w:t>
      </w:r>
      <w:r>
        <w:rPr>
          <w:rFonts w:ascii="Times New Roman" w:hAnsi="Times New Roman"/>
          <w:color w:val="000000" w:themeColor="text1"/>
          <w:sz w:val="24"/>
          <w:szCs w:val="24"/>
        </w:rPr>
        <w:t>obnych środków przyjętych</w:t>
      </w:r>
      <w:r w:rsidR="00A467B6">
        <w:rPr>
          <w:rFonts w:ascii="Times New Roman" w:hAnsi="Times New Roman"/>
          <w:color w:val="000000" w:themeColor="text1"/>
          <w:sz w:val="24"/>
          <w:szCs w:val="24"/>
        </w:rPr>
        <w:t xml:space="preserve"> w cel</w:t>
      </w:r>
      <w:r>
        <w:rPr>
          <w:rFonts w:ascii="Times New Roman" w:hAnsi="Times New Roman"/>
          <w:color w:val="000000" w:themeColor="text1"/>
          <w:sz w:val="24"/>
          <w:szCs w:val="24"/>
        </w:rPr>
        <w:t>u sprostania skutkom społeczno-gospodarczym pandemii COVID-19</w:t>
      </w:r>
      <w:r w:rsidR="00A467B6">
        <w:rPr>
          <w:rFonts w:ascii="Times New Roman" w:hAnsi="Times New Roman"/>
          <w:color w:val="000000" w:themeColor="text1"/>
          <w:sz w:val="24"/>
          <w:szCs w:val="24"/>
        </w:rPr>
        <w:t>. W ram</w:t>
      </w:r>
      <w:r>
        <w:rPr>
          <w:rFonts w:ascii="Times New Roman" w:hAnsi="Times New Roman"/>
          <w:color w:val="000000" w:themeColor="text1"/>
          <w:sz w:val="24"/>
          <w:szCs w:val="24"/>
        </w:rPr>
        <w:t>ach tego instrumentu możliwe było również wykorzystanie pomocy finansowej na sfinansowanie planowanego wzrostu wydatków publicznych przeznaczonych na takie środki</w:t>
      </w:r>
      <w:r w:rsidR="00A467B6">
        <w:rPr>
          <w:rFonts w:ascii="Times New Roman" w:hAnsi="Times New Roman"/>
          <w:color w:val="000000" w:themeColor="text1"/>
          <w:sz w:val="24"/>
          <w:szCs w:val="24"/>
        </w:rPr>
        <w:t>. W cze</w:t>
      </w:r>
      <w:r>
        <w:rPr>
          <w:rFonts w:ascii="Times New Roman" w:hAnsi="Times New Roman"/>
          <w:color w:val="000000" w:themeColor="text1"/>
          <w:sz w:val="24"/>
          <w:szCs w:val="24"/>
        </w:rPr>
        <w:t>rwcu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poniesione wydatki publiczne objęte wsparciem</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stanowiły 4</w:t>
      </w:r>
      <w:r w:rsidRPr="00A467B6">
        <w:rPr>
          <w:rFonts w:ascii="Times New Roman" w:hAnsi="Times New Roman"/>
          <w:color w:val="000000" w:themeColor="text1"/>
          <w:sz w:val="24"/>
          <w:szCs w:val="24"/>
        </w:rPr>
        <w:t>6</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Pr>
          <w:rFonts w:ascii="Times New Roman" w:hAnsi="Times New Roman"/>
          <w:color w:val="000000" w:themeColor="text1"/>
          <w:sz w:val="24"/>
          <w:szCs w:val="24"/>
        </w:rPr>
        <w:t xml:space="preserve"> łącznej kwoty wydatków publicznych,</w:t>
      </w:r>
      <w:r w:rsidR="00A467B6">
        <w:rPr>
          <w:rFonts w:ascii="Times New Roman" w:hAnsi="Times New Roman"/>
          <w:color w:val="000000" w:themeColor="text1"/>
          <w:sz w:val="24"/>
          <w:szCs w:val="24"/>
        </w:rPr>
        <w:t xml:space="preserve"> a w gru</w:t>
      </w:r>
      <w:r>
        <w:rPr>
          <w:rFonts w:ascii="Times New Roman" w:hAnsi="Times New Roman"/>
          <w:color w:val="000000" w:themeColor="text1"/>
          <w:sz w:val="24"/>
          <w:szCs w:val="24"/>
        </w:rPr>
        <w:t>dniu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odsetek ten wzrósł </w:t>
      </w:r>
      <w:r w:rsidRPr="00A467B6">
        <w:rPr>
          <w:rFonts w:ascii="Times New Roman" w:hAnsi="Times New Roman"/>
          <w:color w:val="000000" w:themeColor="text1"/>
          <w:sz w:val="24"/>
          <w:szCs w:val="24"/>
        </w:rPr>
        <w:t>do</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80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Pr>
          <w:rFonts w:ascii="Times New Roman" w:hAnsi="Times New Roman"/>
          <w:color w:val="000000" w:themeColor="text1"/>
          <w:sz w:val="24"/>
          <w:szCs w:val="24"/>
        </w:rPr>
        <w:t>. Wykres 1 przedstawia zmianę tego wskaźnika od czasu wprowadzenia SURE.</w:t>
      </w:r>
    </w:p>
    <w:p w14:paraId="4898ECEB" w14:textId="77777777" w:rsidR="009D29AB" w:rsidRPr="009D29AB" w:rsidRDefault="009D29AB" w:rsidP="009D29AB">
      <w:pPr>
        <w:rPr>
          <w:rFonts w:ascii="Times New Roman" w:hAnsi="Times New Roman" w:cs="Times New Roman"/>
          <w:b/>
          <w:color w:val="000000" w:themeColor="text1"/>
          <w:sz w:val="24"/>
          <w:szCs w:val="24"/>
        </w:rPr>
      </w:pPr>
      <w:r>
        <w:br w:type="page"/>
      </w:r>
    </w:p>
    <w:p w14:paraId="2DC5C724" w14:textId="589882DC" w:rsidR="009D29AB" w:rsidRPr="009D29AB" w:rsidRDefault="009D29AB" w:rsidP="009D29AB">
      <w:pPr>
        <w:spacing w:before="120" w:after="120"/>
        <w:jc w:val="both"/>
        <w:rPr>
          <w:rFonts w:ascii="Times New Roman" w:hAnsi="Times New Roman" w:cs="Times New Roman"/>
          <w:b/>
          <w:color w:val="000000" w:themeColor="text1"/>
          <w:sz w:val="24"/>
        </w:rPr>
      </w:pPr>
      <w:bookmarkStart w:id="2" w:name="OLE_LINK1"/>
      <w:r>
        <w:rPr>
          <w:rFonts w:ascii="Times New Roman" w:hAnsi="Times New Roman"/>
          <w:b/>
          <w:color w:val="000000" w:themeColor="text1"/>
          <w:sz w:val="24"/>
          <w:szCs w:val="24"/>
        </w:rPr>
        <w:t>Wykres 1:</w:t>
      </w:r>
      <w:r>
        <w:rPr>
          <w:rFonts w:ascii="Times New Roman" w:hAnsi="Times New Roman"/>
          <w:b/>
          <w:color w:val="000000" w:themeColor="text1"/>
          <w:sz w:val="24"/>
        </w:rPr>
        <w:t xml:space="preserve"> Miesięczne</w:t>
      </w:r>
      <w:r>
        <w:rPr>
          <w:rFonts w:ascii="Times New Roman" w:hAnsi="Times New Roman"/>
          <w:color w:val="000000" w:themeColor="text1"/>
          <w:sz w:val="24"/>
        </w:rPr>
        <w:t xml:space="preserve"> </w:t>
      </w:r>
      <w:r>
        <w:rPr>
          <w:rFonts w:ascii="Times New Roman" w:hAnsi="Times New Roman"/>
          <w:b/>
          <w:color w:val="000000" w:themeColor="text1"/>
          <w:sz w:val="24"/>
          <w:szCs w:val="24"/>
        </w:rPr>
        <w:t>zmiany</w:t>
      </w:r>
      <w:r>
        <w:rPr>
          <w:rFonts w:ascii="Times New Roman" w:hAnsi="Times New Roman"/>
          <w:b/>
          <w:color w:val="000000" w:themeColor="text1"/>
          <w:sz w:val="24"/>
        </w:rPr>
        <w:t xml:space="preserve"> wydatków publicznych</w:t>
      </w:r>
      <w:r>
        <w:rPr>
          <w:rFonts w:ascii="Times New Roman" w:hAnsi="Times New Roman"/>
          <w:b/>
          <w:color w:val="000000" w:themeColor="text1"/>
          <w:sz w:val="24"/>
          <w:szCs w:val="24"/>
        </w:rPr>
        <w:t xml:space="preserve"> objętych SURE (wydatki poniesione</w:t>
      </w:r>
      <w:r w:rsidR="00A467B6">
        <w:rPr>
          <w:rFonts w:ascii="Times New Roman" w:hAnsi="Times New Roman"/>
          <w:b/>
          <w:color w:val="000000" w:themeColor="text1"/>
          <w:sz w:val="24"/>
          <w:szCs w:val="24"/>
        </w:rPr>
        <w:t xml:space="preserve"> i pla</w:t>
      </w:r>
      <w:r>
        <w:rPr>
          <w:rFonts w:ascii="Times New Roman" w:hAnsi="Times New Roman"/>
          <w:b/>
          <w:color w:val="000000" w:themeColor="text1"/>
          <w:sz w:val="24"/>
          <w:szCs w:val="24"/>
        </w:rPr>
        <w:t>nowane)</w:t>
      </w:r>
    </w:p>
    <w:bookmarkEnd w:id="2"/>
    <w:p w14:paraId="17758CC4" w14:textId="0C0CA2FC" w:rsidR="009D29AB" w:rsidRPr="009D29AB" w:rsidRDefault="000B55BD" w:rsidP="009D29AB">
      <w:pPr>
        <w:spacing w:before="120" w:after="0"/>
        <w:jc w:val="center"/>
        <w:rPr>
          <w:rFonts w:ascii="Times New Roman" w:hAnsi="Times New Roman" w:cs="Times New Roman"/>
          <w:color w:val="000000" w:themeColor="text1"/>
          <w:sz w:val="24"/>
          <w:szCs w:val="24"/>
        </w:rPr>
      </w:pPr>
      <w:r w:rsidRPr="00AB3D0F">
        <w:rPr>
          <w:noProof/>
          <w:lang w:val="en-US"/>
        </w:rPr>
        <w:drawing>
          <wp:inline distT="0" distB="0" distL="0" distR="0" wp14:anchorId="2830E034" wp14:editId="7615E3FC">
            <wp:extent cx="3717925" cy="21564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17925" cy="2156460"/>
                    </a:xfrm>
                    <a:prstGeom prst="rect">
                      <a:avLst/>
                    </a:prstGeom>
                    <a:noFill/>
                    <a:ln>
                      <a:noFill/>
                    </a:ln>
                  </pic:spPr>
                </pic:pic>
              </a:graphicData>
            </a:graphic>
          </wp:inline>
        </w:drawing>
      </w:r>
    </w:p>
    <w:p w14:paraId="13A60922" w14:textId="283D6577"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Uwaga: nieznacznie ujemny poziom wydatków</w:t>
      </w:r>
      <w:r w:rsidR="00A467B6">
        <w:rPr>
          <w:rFonts w:ascii="Times New Roman" w:hAnsi="Times New Roman"/>
          <w:color w:val="000000" w:themeColor="text1"/>
          <w:sz w:val="20"/>
          <w:szCs w:val="24"/>
        </w:rPr>
        <w:t xml:space="preserve"> w lip</w:t>
      </w:r>
      <w:r>
        <w:rPr>
          <w:rFonts w:ascii="Times New Roman" w:hAnsi="Times New Roman"/>
          <w:color w:val="000000" w:themeColor="text1"/>
          <w:sz w:val="20"/>
          <w:szCs w:val="24"/>
        </w:rPr>
        <w:t>cu 20</w:t>
      </w:r>
      <w:r w:rsidRPr="00A467B6">
        <w:rPr>
          <w:rFonts w:ascii="Times New Roman" w:hAnsi="Times New Roman"/>
          <w:color w:val="000000" w:themeColor="text1"/>
          <w:sz w:val="20"/>
          <w:szCs w:val="24"/>
        </w:rPr>
        <w:t>21</w:t>
      </w:r>
      <w:r w:rsidR="00A467B6" w:rsidRPr="00A467B6">
        <w:rPr>
          <w:rFonts w:ascii="Times New Roman" w:hAnsi="Times New Roman"/>
          <w:color w:val="000000" w:themeColor="text1"/>
          <w:sz w:val="20"/>
          <w:szCs w:val="24"/>
        </w:rPr>
        <w:t> </w:t>
      </w:r>
      <w:r w:rsidRPr="00A467B6">
        <w:rPr>
          <w:rFonts w:ascii="Times New Roman" w:hAnsi="Times New Roman"/>
          <w:color w:val="000000" w:themeColor="text1"/>
          <w:sz w:val="20"/>
          <w:szCs w:val="24"/>
        </w:rPr>
        <w:t>r.</w:t>
      </w:r>
      <w:r>
        <w:rPr>
          <w:rFonts w:ascii="Times New Roman" w:hAnsi="Times New Roman"/>
          <w:color w:val="000000" w:themeColor="text1"/>
          <w:sz w:val="20"/>
          <w:szCs w:val="24"/>
        </w:rPr>
        <w:t xml:space="preserve"> wynika</w:t>
      </w:r>
      <w:r w:rsidR="00A467B6">
        <w:rPr>
          <w:rFonts w:ascii="Times New Roman" w:hAnsi="Times New Roman"/>
          <w:color w:val="000000" w:themeColor="text1"/>
          <w:sz w:val="20"/>
          <w:szCs w:val="24"/>
        </w:rPr>
        <w:t xml:space="preserve"> z fak</w:t>
      </w:r>
      <w:r>
        <w:rPr>
          <w:rFonts w:ascii="Times New Roman" w:hAnsi="Times New Roman"/>
          <w:color w:val="000000" w:themeColor="text1"/>
          <w:sz w:val="20"/>
          <w:szCs w:val="24"/>
        </w:rPr>
        <w:t>tu, że</w:t>
      </w:r>
      <w:r w:rsidR="00A467B6">
        <w:rPr>
          <w:rFonts w:ascii="Times New Roman" w:hAnsi="Times New Roman"/>
          <w:color w:val="000000" w:themeColor="text1"/>
          <w:sz w:val="20"/>
          <w:szCs w:val="24"/>
        </w:rPr>
        <w:t xml:space="preserve"> w tym</w:t>
      </w:r>
      <w:r>
        <w:rPr>
          <w:rFonts w:ascii="Times New Roman" w:hAnsi="Times New Roman"/>
          <w:color w:val="000000" w:themeColor="text1"/>
          <w:sz w:val="20"/>
          <w:szCs w:val="24"/>
        </w:rPr>
        <w:t xml:space="preserve"> miesiącu spodziewano się wysokich płatności</w:t>
      </w:r>
      <w:r w:rsidR="00A467B6">
        <w:rPr>
          <w:rFonts w:ascii="Times New Roman" w:hAnsi="Times New Roman"/>
          <w:color w:val="000000" w:themeColor="text1"/>
          <w:sz w:val="20"/>
          <w:szCs w:val="24"/>
        </w:rPr>
        <w:t xml:space="preserve"> z eur</w:t>
      </w:r>
      <w:r>
        <w:rPr>
          <w:rFonts w:ascii="Times New Roman" w:hAnsi="Times New Roman"/>
          <w:color w:val="000000" w:themeColor="text1"/>
          <w:sz w:val="20"/>
          <w:szCs w:val="24"/>
        </w:rPr>
        <w:t>opejskich funduszy strukturalnych</w:t>
      </w:r>
      <w:r w:rsidR="00A467B6">
        <w:rPr>
          <w:rFonts w:ascii="Times New Roman" w:hAnsi="Times New Roman"/>
          <w:color w:val="000000" w:themeColor="text1"/>
          <w:sz w:val="20"/>
          <w:szCs w:val="24"/>
        </w:rPr>
        <w:t xml:space="preserve"> i inw</w:t>
      </w:r>
      <w:r>
        <w:rPr>
          <w:rFonts w:ascii="Times New Roman" w:hAnsi="Times New Roman"/>
          <w:color w:val="000000" w:themeColor="text1"/>
          <w:sz w:val="20"/>
          <w:szCs w:val="24"/>
        </w:rPr>
        <w:t>estycyjnych na wsparcie mechanizmów zmniejszonego wymiaru czasu pracy.</w:t>
      </w:r>
    </w:p>
    <w:p w14:paraId="63B90D3B" w14:textId="7B6A029B"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Na podstawie porównania danych zawartych we wstępnych</w:t>
      </w:r>
      <w:r w:rsidR="00A467B6">
        <w:rPr>
          <w:rFonts w:ascii="Times New Roman" w:hAnsi="Times New Roman"/>
          <w:b/>
          <w:color w:val="000000" w:themeColor="text1"/>
          <w:sz w:val="24"/>
          <w:szCs w:val="24"/>
        </w:rPr>
        <w:t xml:space="preserve"> i zak</w:t>
      </w:r>
      <w:r>
        <w:rPr>
          <w:rFonts w:ascii="Times New Roman" w:hAnsi="Times New Roman"/>
          <w:b/>
          <w:color w:val="000000" w:themeColor="text1"/>
          <w:sz w:val="24"/>
          <w:szCs w:val="24"/>
        </w:rPr>
        <w:t>tualizowanych sprawozdaniach państw członkowskich widać,</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że ich wydatki są mniejsze, niż początkowo przewidywano</w:t>
      </w:r>
      <w:r w:rsidR="00A467B6">
        <w:rPr>
          <w:rFonts w:ascii="Times New Roman" w:hAnsi="Times New Roman"/>
          <w:b/>
          <w:color w:val="000000" w:themeColor="text1"/>
          <w:sz w:val="24"/>
          <w:szCs w:val="24"/>
        </w:rPr>
        <w:t xml:space="preserve"> w 2</w:t>
      </w:r>
      <w:r>
        <w:rPr>
          <w:rFonts w:ascii="Times New Roman" w:hAnsi="Times New Roman"/>
          <w:b/>
          <w:color w:val="000000" w:themeColor="text1"/>
          <w:sz w:val="24"/>
          <w:szCs w:val="24"/>
        </w:rPr>
        <w:t>0</w:t>
      </w:r>
      <w:r w:rsidRPr="00A467B6">
        <w:rPr>
          <w:rFonts w:ascii="Times New Roman" w:hAnsi="Times New Roman"/>
          <w:b/>
          <w:color w:val="000000" w:themeColor="text1"/>
          <w:sz w:val="24"/>
          <w:szCs w:val="24"/>
        </w:rPr>
        <w:t>20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r.</w:t>
      </w:r>
      <w:r>
        <w:rPr>
          <w:rFonts w:ascii="Times New Roman" w:hAnsi="Times New Roman"/>
          <w:color w:val="000000" w:themeColor="text1"/>
          <w:sz w:val="24"/>
          <w:szCs w:val="24"/>
        </w:rPr>
        <w:t xml:space="preserve"> Według najnowszych przekazanych danych szacunkowe faktyczne wydatki publiczne</w:t>
      </w:r>
      <w:r w:rsidR="00A467B6">
        <w:rPr>
          <w:rFonts w:ascii="Times New Roman" w:hAnsi="Times New Roman"/>
          <w:color w:val="000000" w:themeColor="text1"/>
          <w:sz w:val="24"/>
          <w:szCs w:val="24"/>
        </w:rPr>
        <w:t xml:space="preserve"> w okr</w:t>
      </w:r>
      <w:r>
        <w:rPr>
          <w:rFonts w:ascii="Times New Roman" w:hAnsi="Times New Roman"/>
          <w:color w:val="000000" w:themeColor="text1"/>
          <w:sz w:val="24"/>
          <w:szCs w:val="24"/>
        </w:rPr>
        <w:t>esie luty–czerwiec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spadły</w:t>
      </w:r>
      <w:r w:rsidR="00A467B6">
        <w:rPr>
          <w:rFonts w:ascii="Times New Roman" w:hAnsi="Times New Roman"/>
          <w:color w:val="000000" w:themeColor="text1"/>
          <w:sz w:val="24"/>
          <w:szCs w:val="24"/>
        </w:rPr>
        <w:t xml:space="preserve"> o 1</w:t>
      </w:r>
      <w:r>
        <w:rPr>
          <w:rFonts w:ascii="Times New Roman" w:hAnsi="Times New Roman"/>
          <w:color w:val="000000" w:themeColor="text1"/>
          <w:sz w:val="24"/>
          <w:szCs w:val="24"/>
        </w:rPr>
        <w:t>,3 mld EUR (zob. wykres 2)</w:t>
      </w:r>
      <w:r w:rsidR="00A467B6">
        <w:rPr>
          <w:rFonts w:ascii="Times New Roman" w:hAnsi="Times New Roman"/>
          <w:color w:val="000000" w:themeColor="text1"/>
          <w:sz w:val="24"/>
          <w:szCs w:val="24"/>
        </w:rPr>
        <w:t>. W cza</w:t>
      </w:r>
      <w:r>
        <w:rPr>
          <w:rFonts w:ascii="Times New Roman" w:hAnsi="Times New Roman"/>
          <w:color w:val="000000" w:themeColor="text1"/>
          <w:sz w:val="24"/>
          <w:szCs w:val="24"/>
        </w:rPr>
        <w:t>sie składania wniosków</w:t>
      </w:r>
      <w:r w:rsidR="00A467B6">
        <w:rPr>
          <w:rFonts w:ascii="Times New Roman" w:hAnsi="Times New Roman"/>
          <w:color w:val="000000" w:themeColor="text1"/>
          <w:sz w:val="24"/>
          <w:szCs w:val="24"/>
        </w:rPr>
        <w:t xml:space="preserve"> o pom</w:t>
      </w:r>
      <w:r>
        <w:rPr>
          <w:rFonts w:ascii="Times New Roman" w:hAnsi="Times New Roman"/>
          <w:color w:val="000000" w:themeColor="text1"/>
          <w:sz w:val="24"/>
          <w:szCs w:val="24"/>
        </w:rPr>
        <w:t>oc</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państwa członkowskie przewidywały, że ich wydatki na środki kwalifikujące się do pomocy</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wyniosą</w:t>
      </w:r>
      <w:r w:rsidR="00A467B6">
        <w:rPr>
          <w:rFonts w:ascii="Times New Roman" w:hAnsi="Times New Roman"/>
          <w:color w:val="000000" w:themeColor="text1"/>
          <w:sz w:val="24"/>
          <w:szCs w:val="24"/>
        </w:rPr>
        <w:t xml:space="preserve"> w cał</w:t>
      </w:r>
      <w:r>
        <w:rPr>
          <w:rFonts w:ascii="Times New Roman" w:hAnsi="Times New Roman"/>
          <w:color w:val="000000" w:themeColor="text1"/>
          <w:sz w:val="24"/>
          <w:szCs w:val="24"/>
        </w:rPr>
        <w:t>ym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90,0 mld EUR. Ostatecznie państwa członkowskie wydały 79,3 mld EUR, czyli</w:t>
      </w:r>
      <w:r w:rsidR="00A467B6">
        <w:rPr>
          <w:rFonts w:ascii="Times New Roman" w:hAnsi="Times New Roman"/>
          <w:color w:val="000000" w:themeColor="text1"/>
          <w:sz w:val="24"/>
          <w:szCs w:val="24"/>
        </w:rPr>
        <w:t xml:space="preserve"> o 9</w:t>
      </w:r>
      <w:r>
        <w:rPr>
          <w:rFonts w:ascii="Times New Roman" w:hAnsi="Times New Roman"/>
          <w:color w:val="000000" w:themeColor="text1"/>
          <w:sz w:val="24"/>
          <w:szCs w:val="24"/>
        </w:rPr>
        <w:t xml:space="preserve">,6 mld EUR mniej, niż przewidywano. </w:t>
      </w:r>
    </w:p>
    <w:p w14:paraId="4D3D6CE5" w14:textId="367782EE"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Z zaktualizowanych sprawozdań państw członkowskich wynika, że wydatki publiczne częściowo przeniesiono na późniejszy okres</w:t>
      </w:r>
      <w:r w:rsidR="00A467B6">
        <w:rPr>
          <w:rFonts w:ascii="Times New Roman" w:hAnsi="Times New Roman"/>
          <w:b/>
          <w:color w:val="000000" w:themeColor="text1"/>
          <w:sz w:val="24"/>
          <w:szCs w:val="24"/>
        </w:rPr>
        <w:t xml:space="preserve">. </w:t>
      </w:r>
      <w:r w:rsidR="00A467B6">
        <w:rPr>
          <w:rFonts w:ascii="Times New Roman" w:hAnsi="Times New Roman"/>
          <w:color w:val="000000" w:themeColor="text1"/>
          <w:sz w:val="24"/>
          <w:szCs w:val="24"/>
        </w:rPr>
        <w:t>W</w:t>
      </w:r>
      <w:r w:rsidR="00A467B6">
        <w:rPr>
          <w:rFonts w:ascii="Times New Roman" w:hAnsi="Times New Roman"/>
          <w:b/>
          <w:color w:val="000000" w:themeColor="text1"/>
          <w:sz w:val="24"/>
          <w:szCs w:val="24"/>
        </w:rPr>
        <w:t> </w:t>
      </w:r>
      <w:r w:rsidR="00A467B6">
        <w:rPr>
          <w:rFonts w:ascii="Times New Roman" w:hAnsi="Times New Roman"/>
          <w:color w:val="000000" w:themeColor="text1"/>
          <w:sz w:val="24"/>
          <w:szCs w:val="24"/>
        </w:rPr>
        <w:t>prz</w:t>
      </w:r>
      <w:r>
        <w:rPr>
          <w:rFonts w:ascii="Times New Roman" w:hAnsi="Times New Roman"/>
          <w:color w:val="000000" w:themeColor="text1"/>
          <w:sz w:val="24"/>
          <w:szCs w:val="24"/>
        </w:rPr>
        <w:t>ypadku połowy</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państw członkowskich wydatki publiczne poniesione</w:t>
      </w:r>
      <w:r w:rsidR="00A467B6">
        <w:rPr>
          <w:rFonts w:ascii="Times New Roman" w:hAnsi="Times New Roman"/>
          <w:color w:val="000000" w:themeColor="text1"/>
          <w:sz w:val="24"/>
          <w:szCs w:val="24"/>
        </w:rPr>
        <w:t xml:space="preserve"> w pie</w:t>
      </w:r>
      <w:r>
        <w:rPr>
          <w:rFonts w:ascii="Times New Roman" w:hAnsi="Times New Roman"/>
          <w:color w:val="000000" w:themeColor="text1"/>
          <w:sz w:val="24"/>
          <w:szCs w:val="24"/>
        </w:rPr>
        <w:t>rwszym półroczu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przekroczyły szacunki</w:t>
      </w:r>
      <w:r w:rsidR="00A467B6">
        <w:rPr>
          <w:rFonts w:ascii="Times New Roman" w:hAnsi="Times New Roman"/>
          <w:color w:val="000000" w:themeColor="text1"/>
          <w:sz w:val="24"/>
          <w:szCs w:val="24"/>
        </w:rPr>
        <w:t xml:space="preserve"> z sie</w:t>
      </w:r>
      <w:r>
        <w:rPr>
          <w:rFonts w:ascii="Times New Roman" w:hAnsi="Times New Roman"/>
          <w:color w:val="000000" w:themeColor="text1"/>
          <w:sz w:val="24"/>
          <w:szCs w:val="24"/>
        </w:rPr>
        <w:t>rpnia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natomiast</w:t>
      </w:r>
      <w:r w:rsidR="00A467B6">
        <w:rPr>
          <w:rFonts w:ascii="Times New Roman" w:hAnsi="Times New Roman"/>
          <w:color w:val="000000" w:themeColor="text1"/>
          <w:sz w:val="24"/>
          <w:szCs w:val="24"/>
        </w:rPr>
        <w:t xml:space="preserve"> w prz</w:t>
      </w:r>
      <w:r>
        <w:rPr>
          <w:rFonts w:ascii="Times New Roman" w:hAnsi="Times New Roman"/>
          <w:color w:val="000000" w:themeColor="text1"/>
          <w:sz w:val="24"/>
          <w:szCs w:val="24"/>
        </w:rPr>
        <w:t>ypadku drugiej połowy państw członkowskich wydatki te były niższe, niż przewidywano (zob. wykres 3)</w:t>
      </w:r>
      <w:r w:rsidR="00A467B6">
        <w:rPr>
          <w:rFonts w:ascii="Times New Roman" w:hAnsi="Times New Roman"/>
          <w:color w:val="000000" w:themeColor="text1"/>
          <w:sz w:val="24"/>
          <w:szCs w:val="24"/>
        </w:rPr>
        <w:t>. W dwó</w:t>
      </w:r>
      <w:r>
        <w:rPr>
          <w:rFonts w:ascii="Times New Roman" w:hAnsi="Times New Roman"/>
          <w:color w:val="000000" w:themeColor="text1"/>
          <w:sz w:val="24"/>
          <w:szCs w:val="24"/>
        </w:rPr>
        <w:t>ch państwach członkowskich,</w:t>
      </w:r>
      <w:r w:rsidR="00A467B6">
        <w:rPr>
          <w:rFonts w:ascii="Times New Roman" w:hAnsi="Times New Roman"/>
          <w:color w:val="000000" w:themeColor="text1"/>
          <w:sz w:val="24"/>
          <w:szCs w:val="24"/>
        </w:rPr>
        <w:t xml:space="preserve"> w któ</w:t>
      </w:r>
      <w:r>
        <w:rPr>
          <w:rFonts w:ascii="Times New Roman" w:hAnsi="Times New Roman"/>
          <w:color w:val="000000" w:themeColor="text1"/>
          <w:sz w:val="24"/>
          <w:szCs w:val="24"/>
        </w:rPr>
        <w:t>rych odnotowano największy wzrost wydatków</w:t>
      </w:r>
      <w:r w:rsidR="00A467B6">
        <w:rPr>
          <w:rFonts w:ascii="Times New Roman" w:hAnsi="Times New Roman"/>
          <w:color w:val="000000" w:themeColor="text1"/>
          <w:sz w:val="24"/>
          <w:szCs w:val="24"/>
        </w:rPr>
        <w:t xml:space="preserve"> w pie</w:t>
      </w:r>
      <w:r>
        <w:rPr>
          <w:rFonts w:ascii="Times New Roman" w:hAnsi="Times New Roman"/>
          <w:color w:val="000000" w:themeColor="text1"/>
          <w:sz w:val="24"/>
          <w:szCs w:val="24"/>
        </w:rPr>
        <w:t>rwszym półroczu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w:t>
      </w:r>
      <w:r w:rsidR="00A467B6">
        <w:rPr>
          <w:rFonts w:ascii="Times New Roman" w:hAnsi="Times New Roman"/>
          <w:color w:val="000000" w:themeColor="text1"/>
          <w:sz w:val="24"/>
          <w:szCs w:val="24"/>
        </w:rPr>
        <w:t xml:space="preserve"> w dru</w:t>
      </w:r>
      <w:r>
        <w:rPr>
          <w:rFonts w:ascii="Times New Roman" w:hAnsi="Times New Roman"/>
          <w:color w:val="000000" w:themeColor="text1"/>
          <w:sz w:val="24"/>
          <w:szCs w:val="24"/>
        </w:rPr>
        <w:t>gim półroczu nastąpił spadek wydatków. Dziewięć państw członkowskich zgłosiło mniejsze wydatki publiczne</w:t>
      </w:r>
      <w:r w:rsidR="00A467B6">
        <w:rPr>
          <w:rFonts w:ascii="Times New Roman" w:hAnsi="Times New Roman"/>
          <w:color w:val="000000" w:themeColor="text1"/>
          <w:sz w:val="24"/>
          <w:szCs w:val="24"/>
        </w:rPr>
        <w:t xml:space="preserve"> w dru</w:t>
      </w:r>
      <w:r>
        <w:rPr>
          <w:rFonts w:ascii="Times New Roman" w:hAnsi="Times New Roman"/>
          <w:color w:val="000000" w:themeColor="text1"/>
          <w:sz w:val="24"/>
          <w:szCs w:val="24"/>
        </w:rPr>
        <w:t>giej połowie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niż początkowo przewidywano</w:t>
      </w:r>
      <w:r w:rsidR="00A467B6">
        <w:rPr>
          <w:rFonts w:ascii="Times New Roman" w:hAnsi="Times New Roman"/>
          <w:color w:val="000000" w:themeColor="text1"/>
          <w:sz w:val="24"/>
          <w:szCs w:val="24"/>
        </w:rPr>
        <w:t>. W wię</w:t>
      </w:r>
      <w:r>
        <w:rPr>
          <w:rFonts w:ascii="Times New Roman" w:hAnsi="Times New Roman"/>
          <w:color w:val="000000" w:themeColor="text1"/>
          <w:sz w:val="24"/>
          <w:szCs w:val="24"/>
        </w:rPr>
        <w:t>kszości przypadków wiąże się to</w:t>
      </w:r>
      <w:r w:rsidR="00A467B6">
        <w:rPr>
          <w:rFonts w:ascii="Times New Roman" w:hAnsi="Times New Roman"/>
          <w:color w:val="000000" w:themeColor="text1"/>
          <w:sz w:val="24"/>
          <w:szCs w:val="24"/>
        </w:rPr>
        <w:t xml:space="preserve"> z wię</w:t>
      </w:r>
      <w:r>
        <w:rPr>
          <w:rFonts w:ascii="Times New Roman" w:hAnsi="Times New Roman"/>
          <w:color w:val="000000" w:themeColor="text1"/>
          <w:sz w:val="24"/>
          <w:szCs w:val="24"/>
        </w:rPr>
        <w:t>kszymi planowanymi wydatkami</w:t>
      </w:r>
      <w:r w:rsidR="00A467B6">
        <w:rPr>
          <w:rFonts w:ascii="Times New Roman" w:hAnsi="Times New Roman"/>
          <w:color w:val="000000" w:themeColor="text1"/>
          <w:sz w:val="24"/>
          <w:szCs w:val="24"/>
        </w:rPr>
        <w:t xml:space="preserve"> w 2</w:t>
      </w:r>
      <w:r>
        <w:rPr>
          <w:rFonts w:ascii="Times New Roman" w:hAnsi="Times New Roman"/>
          <w:color w:val="000000" w:themeColor="text1"/>
          <w:sz w:val="24"/>
          <w:szCs w:val="24"/>
        </w:rPr>
        <w:t>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Dwa państwa członkowskie planują jednak mniejsze wydatki również</w:t>
      </w:r>
      <w:r w:rsidR="00A467B6">
        <w:rPr>
          <w:rFonts w:ascii="Times New Roman" w:hAnsi="Times New Roman"/>
          <w:color w:val="000000" w:themeColor="text1"/>
          <w:sz w:val="24"/>
          <w:szCs w:val="24"/>
        </w:rPr>
        <w:t xml:space="preserve"> w 2</w:t>
      </w:r>
      <w:r>
        <w:rPr>
          <w:rFonts w:ascii="Times New Roman" w:hAnsi="Times New Roman"/>
          <w:color w:val="000000" w:themeColor="text1"/>
          <w:sz w:val="24"/>
          <w:szCs w:val="24"/>
        </w:rPr>
        <w:t>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w:t>
      </w:r>
    </w:p>
    <w:p w14:paraId="48876C93" w14:textId="53A1E5E7"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Zgodnie</w:t>
      </w:r>
      <w:r w:rsidR="00A467B6">
        <w:rPr>
          <w:rFonts w:ascii="Times New Roman" w:hAnsi="Times New Roman"/>
          <w:b/>
          <w:color w:val="000000" w:themeColor="text1"/>
          <w:sz w:val="24"/>
          <w:szCs w:val="24"/>
        </w:rPr>
        <w:t xml:space="preserve"> z zak</w:t>
      </w:r>
      <w:r>
        <w:rPr>
          <w:rFonts w:ascii="Times New Roman" w:hAnsi="Times New Roman"/>
          <w:b/>
          <w:color w:val="000000" w:themeColor="text1"/>
          <w:sz w:val="24"/>
          <w:szCs w:val="24"/>
        </w:rPr>
        <w:t>tualizowanymi sprawozdaniami państwa członkowskie zaplanowały większe wydatki</w:t>
      </w:r>
      <w:r w:rsidR="00A467B6">
        <w:rPr>
          <w:rFonts w:ascii="Times New Roman" w:hAnsi="Times New Roman"/>
          <w:b/>
          <w:color w:val="000000" w:themeColor="text1"/>
          <w:sz w:val="24"/>
          <w:szCs w:val="24"/>
        </w:rPr>
        <w:t xml:space="preserve"> w lat</w:t>
      </w:r>
      <w:r>
        <w:rPr>
          <w:rFonts w:ascii="Times New Roman" w:hAnsi="Times New Roman"/>
          <w:b/>
          <w:color w:val="000000" w:themeColor="text1"/>
          <w:sz w:val="24"/>
          <w:szCs w:val="24"/>
        </w:rPr>
        <w:t>ach 2021</w:t>
      </w:r>
      <w:r w:rsidR="00A467B6">
        <w:rPr>
          <w:rFonts w:ascii="Times New Roman" w:hAnsi="Times New Roman"/>
          <w:b/>
          <w:color w:val="000000" w:themeColor="text1"/>
          <w:sz w:val="24"/>
          <w:szCs w:val="24"/>
        </w:rPr>
        <w:t xml:space="preserve"> i 2</w:t>
      </w:r>
      <w:r>
        <w:rPr>
          <w:rFonts w:ascii="Times New Roman" w:hAnsi="Times New Roman"/>
          <w:b/>
          <w:color w:val="000000" w:themeColor="text1"/>
          <w:sz w:val="24"/>
          <w:szCs w:val="24"/>
        </w:rPr>
        <w:t>022, niż pierwotnie zgłoszono</w:t>
      </w:r>
      <w:r w:rsidR="00A467B6">
        <w:rPr>
          <w:rFonts w:ascii="Times New Roman" w:hAnsi="Times New Roman"/>
          <w:b/>
          <w:color w:val="000000" w:themeColor="text1"/>
          <w:sz w:val="24"/>
          <w:szCs w:val="24"/>
        </w:rPr>
        <w:t xml:space="preserve"> w sie</w:t>
      </w:r>
      <w:r>
        <w:rPr>
          <w:rFonts w:ascii="Times New Roman" w:hAnsi="Times New Roman"/>
          <w:b/>
          <w:color w:val="000000" w:themeColor="text1"/>
          <w:sz w:val="24"/>
          <w:szCs w:val="24"/>
        </w:rPr>
        <w:t>rpniu 20</w:t>
      </w:r>
      <w:r w:rsidRPr="00A467B6">
        <w:rPr>
          <w:rFonts w:ascii="Times New Roman" w:hAnsi="Times New Roman"/>
          <w:b/>
          <w:color w:val="000000" w:themeColor="text1"/>
          <w:sz w:val="24"/>
          <w:szCs w:val="24"/>
        </w:rPr>
        <w:t>20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w:t>
      </w:r>
      <w:r>
        <w:rPr>
          <w:rFonts w:ascii="Times New Roman" w:hAnsi="Times New Roman"/>
          <w:color w:val="000000" w:themeColor="text1"/>
          <w:sz w:val="24"/>
        </w:rPr>
        <w:t>Planowane wydatki publiczne na kwalifikujące się środki</w:t>
      </w:r>
      <w:r w:rsidR="00A467B6">
        <w:rPr>
          <w:rFonts w:ascii="Times New Roman" w:hAnsi="Times New Roman"/>
          <w:color w:val="000000" w:themeColor="text1"/>
          <w:sz w:val="24"/>
        </w:rPr>
        <w:t xml:space="preserve"> w 2</w:t>
      </w:r>
      <w:r>
        <w:rPr>
          <w:rFonts w:ascii="Times New Roman" w:hAnsi="Times New Roman"/>
          <w:color w:val="000000" w:themeColor="text1"/>
          <w:sz w:val="24"/>
        </w:rPr>
        <w:t>0</w:t>
      </w:r>
      <w:r w:rsidRPr="00A467B6">
        <w:rPr>
          <w:rFonts w:ascii="Times New Roman" w:hAnsi="Times New Roman"/>
          <w:color w:val="000000" w:themeColor="text1"/>
          <w:sz w:val="24"/>
        </w:rPr>
        <w:t>21</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r.</w:t>
      </w:r>
      <w:r>
        <w:rPr>
          <w:rFonts w:ascii="Times New Roman" w:hAnsi="Times New Roman"/>
          <w:color w:val="000000" w:themeColor="text1"/>
          <w:sz w:val="24"/>
        </w:rPr>
        <w:t xml:space="preserve"> wzrosły</w:t>
      </w:r>
      <w:r w:rsidR="00A467B6">
        <w:rPr>
          <w:rFonts w:ascii="Times New Roman" w:hAnsi="Times New Roman"/>
          <w:color w:val="000000" w:themeColor="text1"/>
          <w:sz w:val="24"/>
        </w:rPr>
        <w:t xml:space="preserve"> </w:t>
      </w:r>
      <w:r w:rsidR="00A467B6">
        <w:rPr>
          <w:rFonts w:ascii="Times New Roman" w:hAnsi="Times New Roman"/>
          <w:color w:val="000000" w:themeColor="text1"/>
          <w:sz w:val="24"/>
          <w:szCs w:val="24"/>
        </w:rPr>
        <w:t>z</w:t>
      </w:r>
      <w:r w:rsidR="00A467B6">
        <w:rPr>
          <w:rFonts w:ascii="Times New Roman" w:hAnsi="Times New Roman"/>
          <w:color w:val="000000" w:themeColor="text1"/>
          <w:sz w:val="24"/>
        </w:rPr>
        <w:t> 7</w:t>
      </w:r>
      <w:r>
        <w:rPr>
          <w:rFonts w:ascii="Times New Roman" w:hAnsi="Times New Roman"/>
          <w:color w:val="000000" w:themeColor="text1"/>
          <w:sz w:val="24"/>
        </w:rPr>
        <w:t xml:space="preserve">,4 mld EUR </w:t>
      </w:r>
      <w:r>
        <w:rPr>
          <w:rFonts w:ascii="Times New Roman" w:hAnsi="Times New Roman"/>
          <w:color w:val="000000" w:themeColor="text1"/>
          <w:sz w:val="24"/>
          <w:szCs w:val="24"/>
        </w:rPr>
        <w:t>według wstępnych sprawozdań</w:t>
      </w:r>
      <w:r w:rsidR="00A467B6">
        <w:rPr>
          <w:rFonts w:ascii="Times New Roman" w:hAnsi="Times New Roman"/>
          <w:color w:val="000000" w:themeColor="text1"/>
          <w:sz w:val="24"/>
          <w:szCs w:val="24"/>
        </w:rPr>
        <w:t xml:space="preserve"> w sie</w:t>
      </w:r>
      <w:r>
        <w:rPr>
          <w:rFonts w:ascii="Times New Roman" w:hAnsi="Times New Roman"/>
          <w:color w:val="000000" w:themeColor="text1"/>
          <w:sz w:val="24"/>
          <w:szCs w:val="24"/>
        </w:rPr>
        <w:t>rpniu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w:t>
      </w:r>
      <w:r w:rsidRPr="00A467B6">
        <w:rPr>
          <w:rFonts w:ascii="Times New Roman" w:hAnsi="Times New Roman"/>
          <w:color w:val="000000" w:themeColor="text1"/>
          <w:sz w:val="24"/>
        </w:rPr>
        <w:t>do</w:t>
      </w:r>
      <w:r w:rsidR="00A467B6" w:rsidRPr="00A467B6">
        <w:rPr>
          <w:rFonts w:ascii="Times New Roman" w:hAnsi="Times New Roman"/>
          <w:color w:val="000000" w:themeColor="text1"/>
          <w:sz w:val="24"/>
        </w:rPr>
        <w:t> </w:t>
      </w:r>
      <w:r w:rsidRPr="00A467B6">
        <w:rPr>
          <w:rFonts w:ascii="Times New Roman" w:hAnsi="Times New Roman"/>
          <w:color w:val="000000" w:themeColor="text1"/>
          <w:sz w:val="24"/>
        </w:rPr>
        <w:t>1</w:t>
      </w:r>
      <w:r>
        <w:rPr>
          <w:rFonts w:ascii="Times New Roman" w:hAnsi="Times New Roman"/>
          <w:color w:val="000000" w:themeColor="text1"/>
          <w:sz w:val="24"/>
        </w:rPr>
        <w:t xml:space="preserve">9,8 mld EUR </w:t>
      </w:r>
      <w:r>
        <w:rPr>
          <w:rFonts w:ascii="Times New Roman" w:hAnsi="Times New Roman"/>
          <w:color w:val="000000" w:themeColor="text1"/>
          <w:sz w:val="24"/>
          <w:szCs w:val="24"/>
        </w:rPr>
        <w:t>według danych zgłoszonych</w:t>
      </w:r>
      <w:r w:rsidR="00A467B6">
        <w:rPr>
          <w:rFonts w:ascii="Times New Roman" w:hAnsi="Times New Roman"/>
          <w:color w:val="000000" w:themeColor="text1"/>
          <w:sz w:val="24"/>
          <w:szCs w:val="24"/>
        </w:rPr>
        <w:t xml:space="preserve"> w sty</w:t>
      </w:r>
      <w:r>
        <w:rPr>
          <w:rFonts w:ascii="Times New Roman" w:hAnsi="Times New Roman"/>
          <w:color w:val="000000" w:themeColor="text1"/>
          <w:sz w:val="24"/>
          <w:szCs w:val="24"/>
        </w:rPr>
        <w:t>czniu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(zob. wykres 2). Jedynie dwa państwa członkowskie przedstawiły</w:t>
      </w:r>
      <w:r w:rsidR="00A467B6">
        <w:rPr>
          <w:rFonts w:ascii="Times New Roman" w:hAnsi="Times New Roman"/>
          <w:color w:val="000000" w:themeColor="text1"/>
          <w:sz w:val="24"/>
          <w:szCs w:val="24"/>
        </w:rPr>
        <w:t xml:space="preserve"> w zak</w:t>
      </w:r>
      <w:r>
        <w:rPr>
          <w:rFonts w:ascii="Times New Roman" w:hAnsi="Times New Roman"/>
          <w:color w:val="000000" w:themeColor="text1"/>
          <w:sz w:val="24"/>
          <w:szCs w:val="24"/>
        </w:rPr>
        <w:t>tualizowanych sprawozdaniach dane dotyczące wydatków publicznych planowanych</w:t>
      </w:r>
      <w:r w:rsidR="00A467B6">
        <w:rPr>
          <w:rFonts w:ascii="Times New Roman" w:hAnsi="Times New Roman"/>
          <w:color w:val="000000" w:themeColor="text1"/>
          <w:sz w:val="24"/>
          <w:szCs w:val="24"/>
        </w:rPr>
        <w:t xml:space="preserve"> w 2</w:t>
      </w:r>
      <w:r>
        <w:rPr>
          <w:rFonts w:ascii="Times New Roman" w:hAnsi="Times New Roman"/>
          <w:color w:val="000000" w:themeColor="text1"/>
          <w:sz w:val="24"/>
          <w:szCs w:val="24"/>
        </w:rPr>
        <w:t>0</w:t>
      </w:r>
      <w:r w:rsidRPr="00A467B6">
        <w:rPr>
          <w:rFonts w:ascii="Times New Roman" w:hAnsi="Times New Roman"/>
          <w:color w:val="000000" w:themeColor="text1"/>
          <w:sz w:val="24"/>
          <w:szCs w:val="24"/>
        </w:rPr>
        <w:t>22</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(1,3 mld EUR). Obecnie oczekuje się, że łączna kwota wydatków publicznych przeznaczonych na kwalifikujące się środki przez wszystkie państwa członkowskie korzystające</w:t>
      </w:r>
      <w:r w:rsidR="00A467B6">
        <w:rPr>
          <w:rFonts w:ascii="Times New Roman" w:hAnsi="Times New Roman"/>
          <w:color w:val="000000" w:themeColor="text1"/>
          <w:sz w:val="24"/>
          <w:szCs w:val="24"/>
        </w:rPr>
        <w:t xml:space="preserve"> z pom</w:t>
      </w:r>
      <w:r>
        <w:rPr>
          <w:rFonts w:ascii="Times New Roman" w:hAnsi="Times New Roman"/>
          <w:color w:val="000000" w:themeColor="text1"/>
          <w:sz w:val="24"/>
          <w:szCs w:val="24"/>
        </w:rPr>
        <w:t>ocy wyniesie 99,1 mld EUR, czyli więcej, niż wynosi łączna kwota środków przyznanych do tej pory</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Jest to zgodne</w:t>
      </w:r>
      <w:r w:rsidR="00A467B6">
        <w:rPr>
          <w:rFonts w:ascii="Times New Roman" w:hAnsi="Times New Roman"/>
          <w:color w:val="000000" w:themeColor="text1"/>
          <w:sz w:val="24"/>
          <w:szCs w:val="24"/>
        </w:rPr>
        <w:t xml:space="preserve"> z uzu</w:t>
      </w:r>
      <w:r>
        <w:rPr>
          <w:rFonts w:ascii="Times New Roman" w:hAnsi="Times New Roman"/>
          <w:color w:val="000000" w:themeColor="text1"/>
          <w:sz w:val="24"/>
          <w:szCs w:val="24"/>
        </w:rPr>
        <w:t>pełniającym charakterem SURE, który ma stanowić uzupełnienie krajowych środków finansowych przeznaczonych na wsparcie zatrudnienia. Niektóre państwa członkowskie zaplanowały wydatki na te środki przekraczające kwotę pomocy finansowej,</w:t>
      </w:r>
      <w:r w:rsidR="00A467B6">
        <w:rPr>
          <w:rFonts w:ascii="Times New Roman" w:hAnsi="Times New Roman"/>
          <w:color w:val="000000" w:themeColor="text1"/>
          <w:sz w:val="24"/>
          <w:szCs w:val="24"/>
        </w:rPr>
        <w:t xml:space="preserve"> o jak</w:t>
      </w:r>
      <w:r>
        <w:rPr>
          <w:rFonts w:ascii="Times New Roman" w:hAnsi="Times New Roman"/>
          <w:color w:val="000000" w:themeColor="text1"/>
          <w:sz w:val="24"/>
          <w:szCs w:val="24"/>
        </w:rPr>
        <w:t>ą ubiegają się</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Dotyczy to między innymi państw, które osiągnęły limit koncentracji SURE.</w:t>
      </w:r>
    </w:p>
    <w:p w14:paraId="0E5D2603" w14:textId="77777777" w:rsidR="009D29AB" w:rsidRPr="009D29AB" w:rsidRDefault="009D29AB" w:rsidP="009D29AB">
      <w:pPr>
        <w:rPr>
          <w:rFonts w:ascii="Times New Roman" w:hAnsi="Times New Roman" w:cs="Times New Roman"/>
          <w:b/>
          <w:color w:val="000000" w:themeColor="text1"/>
          <w:sz w:val="24"/>
          <w:szCs w:val="24"/>
        </w:rPr>
      </w:pPr>
      <w:r>
        <w:br w:type="page"/>
      </w:r>
    </w:p>
    <w:p w14:paraId="2687F611" w14:textId="77777777" w:rsidR="009D29AB" w:rsidRPr="009D29AB" w:rsidRDefault="009D29AB" w:rsidP="009D29AB">
      <w:pPr>
        <w:spacing w:before="120" w:after="120"/>
        <w:jc w:val="both"/>
        <w:rPr>
          <w:rFonts w:ascii="Times New Roman" w:hAnsi="Times New Roman" w:cs="Times New Roman"/>
          <w:color w:val="000000" w:themeColor="text1"/>
          <w:sz w:val="24"/>
        </w:rPr>
      </w:pPr>
      <w:bookmarkStart w:id="3" w:name="OLE_LINK2"/>
      <w:r>
        <w:rPr>
          <w:rFonts w:ascii="Times New Roman" w:hAnsi="Times New Roman"/>
          <w:b/>
          <w:color w:val="000000" w:themeColor="text1"/>
          <w:sz w:val="24"/>
        </w:rPr>
        <w:t>Wykres 2: Zgłoszone zagregowane dane dotyczące wydatków publicznych</w:t>
      </w:r>
    </w:p>
    <w:bookmarkEnd w:id="3"/>
    <w:p w14:paraId="48F7ADC3" w14:textId="73F6EEA0" w:rsidR="009D29AB" w:rsidRPr="009D29AB" w:rsidRDefault="000B55BD" w:rsidP="009D29AB">
      <w:pPr>
        <w:spacing w:before="120" w:after="120"/>
        <w:jc w:val="center"/>
        <w:rPr>
          <w:rFonts w:ascii="Times New Roman" w:hAnsi="Times New Roman" w:cs="Times New Roman"/>
          <w:noProof/>
        </w:rPr>
      </w:pPr>
      <w:r w:rsidRPr="00514B5A">
        <w:rPr>
          <w:noProof/>
          <w:lang w:val="en-US"/>
        </w:rPr>
        <w:drawing>
          <wp:inline distT="0" distB="0" distL="0" distR="0" wp14:anchorId="35C255BD" wp14:editId="7B600A93">
            <wp:extent cx="4444365" cy="2456180"/>
            <wp:effectExtent l="0" t="0" r="0"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44365" cy="2456180"/>
                    </a:xfrm>
                    <a:prstGeom prst="rect">
                      <a:avLst/>
                    </a:prstGeom>
                    <a:noFill/>
                    <a:ln>
                      <a:noFill/>
                    </a:ln>
                  </pic:spPr>
                </pic:pic>
              </a:graphicData>
            </a:graphic>
          </wp:inline>
        </w:drawing>
      </w:r>
    </w:p>
    <w:p w14:paraId="60D1E588" w14:textId="77777777" w:rsidR="009D29AB" w:rsidRPr="009D29AB" w:rsidRDefault="009D29AB" w:rsidP="009D29AB">
      <w:pPr>
        <w:spacing w:after="0"/>
        <w:jc w:val="both"/>
        <w:rPr>
          <w:rFonts w:ascii="Times New Roman" w:hAnsi="Times New Roman" w:cs="Times New Roman"/>
          <w:color w:val="000000" w:themeColor="text1"/>
          <w:sz w:val="20"/>
          <w:szCs w:val="24"/>
          <w:lang w:val="en-US"/>
        </w:rPr>
      </w:pPr>
    </w:p>
    <w:p w14:paraId="6F5F8E7C" w14:textId="0281A99E" w:rsidR="009D29AB" w:rsidRPr="009D29AB" w:rsidRDefault="009D29AB" w:rsidP="009D29AB">
      <w:pPr>
        <w:spacing w:before="120" w:after="120"/>
        <w:jc w:val="both"/>
        <w:rPr>
          <w:rFonts w:ascii="Times New Roman" w:hAnsi="Times New Roman" w:cs="Times New Roman"/>
          <w:b/>
          <w:color w:val="000000" w:themeColor="text1"/>
          <w:sz w:val="24"/>
          <w:szCs w:val="24"/>
        </w:rPr>
      </w:pPr>
      <w:bookmarkStart w:id="4" w:name="OLE_LINK3"/>
      <w:r>
        <w:rPr>
          <w:rFonts w:ascii="Times New Roman" w:hAnsi="Times New Roman"/>
          <w:b/>
          <w:color w:val="000000" w:themeColor="text1"/>
          <w:sz w:val="24"/>
          <w:szCs w:val="24"/>
        </w:rPr>
        <w:t>Wykres 3: Różnica</w:t>
      </w:r>
      <w:r w:rsidR="00A467B6">
        <w:rPr>
          <w:rFonts w:ascii="Times New Roman" w:hAnsi="Times New Roman"/>
          <w:b/>
          <w:color w:val="000000" w:themeColor="text1"/>
          <w:sz w:val="24"/>
          <w:szCs w:val="24"/>
        </w:rPr>
        <w:t xml:space="preserve"> w zak</w:t>
      </w:r>
      <w:r>
        <w:rPr>
          <w:rFonts w:ascii="Times New Roman" w:hAnsi="Times New Roman"/>
          <w:b/>
          <w:color w:val="000000" w:themeColor="text1"/>
          <w:sz w:val="24"/>
          <w:szCs w:val="24"/>
        </w:rPr>
        <w:t>resie poniesionych wydatków publicznych między danymi zawartymi we wstępnych</w:t>
      </w:r>
      <w:r w:rsidR="00A467B6">
        <w:rPr>
          <w:rFonts w:ascii="Times New Roman" w:hAnsi="Times New Roman"/>
          <w:b/>
          <w:color w:val="000000" w:themeColor="text1"/>
          <w:sz w:val="24"/>
          <w:szCs w:val="24"/>
        </w:rPr>
        <w:t xml:space="preserve"> i w zak</w:t>
      </w:r>
      <w:r>
        <w:rPr>
          <w:rFonts w:ascii="Times New Roman" w:hAnsi="Times New Roman"/>
          <w:b/>
          <w:color w:val="000000" w:themeColor="text1"/>
          <w:sz w:val="24"/>
          <w:szCs w:val="24"/>
        </w:rPr>
        <w:t>tualizowanych sprawozdaniach (% kwoty pożyczki)</w:t>
      </w:r>
    </w:p>
    <w:bookmarkEnd w:id="4"/>
    <w:p w14:paraId="3FEA2375" w14:textId="27D2A8C7" w:rsidR="009D29AB" w:rsidRPr="009D29AB" w:rsidRDefault="000B55BD" w:rsidP="009D29AB">
      <w:pPr>
        <w:spacing w:before="120" w:after="0"/>
        <w:jc w:val="center"/>
        <w:rPr>
          <w:rFonts w:ascii="Times New Roman" w:hAnsi="Times New Roman" w:cs="Times New Roman"/>
          <w:b/>
          <w:color w:val="000000" w:themeColor="text1"/>
          <w:sz w:val="24"/>
        </w:rPr>
      </w:pPr>
      <w:r w:rsidRPr="00514B5A">
        <w:rPr>
          <w:noProof/>
          <w:lang w:val="en-US"/>
        </w:rPr>
        <w:drawing>
          <wp:inline distT="0" distB="0" distL="0" distR="0" wp14:anchorId="6E1E3F29" wp14:editId="1969F1D9">
            <wp:extent cx="4008755" cy="2169160"/>
            <wp:effectExtent l="0" t="0" r="0" b="25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8755" cy="2169160"/>
                    </a:xfrm>
                    <a:prstGeom prst="rect">
                      <a:avLst/>
                    </a:prstGeom>
                    <a:noFill/>
                    <a:ln>
                      <a:noFill/>
                    </a:ln>
                  </pic:spPr>
                </pic:pic>
              </a:graphicData>
            </a:graphic>
          </wp:inline>
        </w:drawing>
      </w:r>
    </w:p>
    <w:p w14:paraId="145F1573" w14:textId="3C9AA8DD" w:rsidR="009D29AB" w:rsidRPr="009D29AB" w:rsidRDefault="009D29AB" w:rsidP="009D29AB">
      <w:pPr>
        <w:spacing w:after="0"/>
        <w:jc w:val="both"/>
        <w:rPr>
          <w:rFonts w:ascii="Times New Roman" w:hAnsi="Times New Roman" w:cs="Times New Roman"/>
          <w:color w:val="000000" w:themeColor="text1"/>
          <w:sz w:val="20"/>
        </w:rPr>
      </w:pPr>
      <w:r>
        <w:rPr>
          <w:rFonts w:ascii="Times New Roman" w:hAnsi="Times New Roman"/>
          <w:color w:val="000000" w:themeColor="text1"/>
          <w:sz w:val="20"/>
          <w:szCs w:val="24"/>
        </w:rPr>
        <w:t>Uwaga: Irlandia złożyła wniosek</w:t>
      </w:r>
      <w:r w:rsidR="00A467B6">
        <w:rPr>
          <w:rFonts w:ascii="Times New Roman" w:hAnsi="Times New Roman"/>
          <w:color w:val="000000" w:themeColor="text1"/>
          <w:sz w:val="20"/>
          <w:szCs w:val="24"/>
        </w:rPr>
        <w:t xml:space="preserve"> o udz</w:t>
      </w:r>
      <w:r>
        <w:rPr>
          <w:rFonts w:ascii="Times New Roman" w:hAnsi="Times New Roman"/>
          <w:color w:val="000000" w:themeColor="text1"/>
          <w:sz w:val="20"/>
          <w:szCs w:val="24"/>
        </w:rPr>
        <w:t>ielenie pomocy finansowej</w:t>
      </w:r>
      <w:r w:rsidR="00A467B6">
        <w:rPr>
          <w:rFonts w:ascii="Times New Roman" w:hAnsi="Times New Roman"/>
          <w:color w:val="000000" w:themeColor="text1"/>
          <w:sz w:val="20"/>
          <w:szCs w:val="24"/>
        </w:rPr>
        <w:t xml:space="preserve"> w ram</w:t>
      </w:r>
      <w:r>
        <w:rPr>
          <w:rFonts w:ascii="Times New Roman" w:hAnsi="Times New Roman"/>
          <w:color w:val="000000" w:themeColor="text1"/>
          <w:sz w:val="20"/>
          <w:szCs w:val="24"/>
        </w:rPr>
        <w:t>ach SURE</w:t>
      </w:r>
      <w:r w:rsidR="00A467B6">
        <w:rPr>
          <w:rFonts w:ascii="Times New Roman" w:hAnsi="Times New Roman"/>
          <w:color w:val="000000" w:themeColor="text1"/>
          <w:sz w:val="20"/>
          <w:szCs w:val="24"/>
        </w:rPr>
        <w:t xml:space="preserve"> w dni</w:t>
      </w:r>
      <w:r>
        <w:rPr>
          <w:rFonts w:ascii="Times New Roman" w:hAnsi="Times New Roman"/>
          <w:color w:val="000000" w:themeColor="text1"/>
          <w:sz w:val="20"/>
          <w:szCs w:val="24"/>
        </w:rPr>
        <w:t>u 27 października 20</w:t>
      </w:r>
      <w:r w:rsidRPr="00A467B6">
        <w:rPr>
          <w:rFonts w:ascii="Times New Roman" w:hAnsi="Times New Roman"/>
          <w:color w:val="000000" w:themeColor="text1"/>
          <w:sz w:val="20"/>
          <w:szCs w:val="24"/>
        </w:rPr>
        <w:t>20</w:t>
      </w:r>
      <w:r w:rsidR="00A467B6" w:rsidRPr="00A467B6">
        <w:rPr>
          <w:rFonts w:ascii="Times New Roman" w:hAnsi="Times New Roman"/>
          <w:color w:val="000000" w:themeColor="text1"/>
          <w:sz w:val="20"/>
          <w:szCs w:val="24"/>
        </w:rPr>
        <w:t> </w:t>
      </w:r>
      <w:r w:rsidRPr="00A467B6">
        <w:rPr>
          <w:rFonts w:ascii="Times New Roman" w:hAnsi="Times New Roman"/>
          <w:color w:val="000000" w:themeColor="text1"/>
          <w:sz w:val="20"/>
          <w:szCs w:val="24"/>
        </w:rPr>
        <w:t>r.</w:t>
      </w:r>
      <w:r>
        <w:rPr>
          <w:rFonts w:ascii="Times New Roman" w:hAnsi="Times New Roman"/>
          <w:color w:val="000000" w:themeColor="text1"/>
          <w:sz w:val="20"/>
          <w:szCs w:val="24"/>
        </w:rPr>
        <w:t>,</w:t>
      </w:r>
      <w:r w:rsidR="00A467B6">
        <w:rPr>
          <w:rFonts w:ascii="Times New Roman" w:hAnsi="Times New Roman"/>
          <w:color w:val="000000" w:themeColor="text1"/>
          <w:sz w:val="20"/>
          <w:szCs w:val="24"/>
        </w:rPr>
        <w:t xml:space="preserve"> a dan</w:t>
      </w:r>
      <w:r>
        <w:rPr>
          <w:rFonts w:ascii="Times New Roman" w:hAnsi="Times New Roman"/>
          <w:color w:val="000000" w:themeColor="text1"/>
          <w:sz w:val="20"/>
          <w:szCs w:val="24"/>
        </w:rPr>
        <w:t>e</w:t>
      </w:r>
      <w:r w:rsidR="00A467B6">
        <w:rPr>
          <w:rFonts w:ascii="Times New Roman" w:hAnsi="Times New Roman"/>
          <w:color w:val="000000" w:themeColor="text1"/>
          <w:sz w:val="20"/>
          <w:szCs w:val="24"/>
        </w:rPr>
        <w:t xml:space="preserve"> w tab</w:t>
      </w:r>
      <w:r>
        <w:rPr>
          <w:rFonts w:ascii="Times New Roman" w:hAnsi="Times New Roman"/>
          <w:color w:val="000000" w:themeColor="text1"/>
          <w:sz w:val="20"/>
          <w:szCs w:val="24"/>
        </w:rPr>
        <w:t>eli</w:t>
      </w:r>
      <w:r w:rsidR="00A467B6">
        <w:rPr>
          <w:rFonts w:ascii="Times New Roman" w:hAnsi="Times New Roman"/>
          <w:color w:val="000000" w:themeColor="text1"/>
          <w:sz w:val="20"/>
          <w:szCs w:val="24"/>
        </w:rPr>
        <w:t xml:space="preserve"> z dan</w:t>
      </w:r>
      <w:r>
        <w:rPr>
          <w:rFonts w:ascii="Times New Roman" w:hAnsi="Times New Roman"/>
          <w:color w:val="000000" w:themeColor="text1"/>
          <w:sz w:val="20"/>
          <w:szCs w:val="24"/>
        </w:rPr>
        <w:t>ymi wstępnymi</w:t>
      </w:r>
      <w:r w:rsidR="00A467B6">
        <w:rPr>
          <w:rFonts w:ascii="Times New Roman" w:hAnsi="Times New Roman"/>
          <w:color w:val="000000" w:themeColor="text1"/>
          <w:sz w:val="20"/>
          <w:szCs w:val="24"/>
        </w:rPr>
        <w:t xml:space="preserve"> i w tab</w:t>
      </w:r>
      <w:r>
        <w:rPr>
          <w:rFonts w:ascii="Times New Roman" w:hAnsi="Times New Roman"/>
          <w:color w:val="000000" w:themeColor="text1"/>
          <w:sz w:val="20"/>
          <w:szCs w:val="24"/>
        </w:rPr>
        <w:t>eli</w:t>
      </w:r>
      <w:r w:rsidR="00A467B6">
        <w:rPr>
          <w:rFonts w:ascii="Times New Roman" w:hAnsi="Times New Roman"/>
          <w:color w:val="000000" w:themeColor="text1"/>
          <w:sz w:val="20"/>
          <w:szCs w:val="24"/>
        </w:rPr>
        <w:t xml:space="preserve"> z dan</w:t>
      </w:r>
      <w:r>
        <w:rPr>
          <w:rFonts w:ascii="Times New Roman" w:hAnsi="Times New Roman"/>
          <w:color w:val="000000" w:themeColor="text1"/>
          <w:sz w:val="20"/>
          <w:szCs w:val="24"/>
        </w:rPr>
        <w:t>ymi zaktualizowanymi nie zmieniły się. Czechy nie przedstawiły zaktualizowanej tabeli sprawozdawczej do daty granicznej.</w:t>
      </w:r>
    </w:p>
    <w:p w14:paraId="1EC69D5E" w14:textId="77777777" w:rsidR="009D29AB" w:rsidRPr="000C43EC" w:rsidRDefault="009D29AB" w:rsidP="009D29AB">
      <w:pPr>
        <w:spacing w:before="120" w:after="120"/>
        <w:jc w:val="center"/>
        <w:rPr>
          <w:rFonts w:ascii="Times New Roman" w:hAnsi="Times New Roman" w:cs="Times New Roman"/>
          <w:b/>
          <w:color w:val="000000" w:themeColor="text1"/>
          <w:sz w:val="24"/>
        </w:rPr>
      </w:pPr>
    </w:p>
    <w:p w14:paraId="448FE8A7" w14:textId="19CC90E1"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Niemal wszystkie państwa członkowskie rozdysponowały już albo planują rozdysponować całą kwotę przyznaną</w:t>
      </w:r>
      <w:r w:rsidR="00A467B6">
        <w:rPr>
          <w:rFonts w:ascii="Times New Roman" w:hAnsi="Times New Roman"/>
          <w:b/>
          <w:color w:val="000000" w:themeColor="text1"/>
          <w:sz w:val="24"/>
          <w:szCs w:val="24"/>
        </w:rPr>
        <w:t xml:space="preserve"> w ram</w:t>
      </w:r>
      <w:r>
        <w:rPr>
          <w:rFonts w:ascii="Times New Roman" w:hAnsi="Times New Roman"/>
          <w:b/>
          <w:color w:val="000000" w:themeColor="text1"/>
          <w:sz w:val="24"/>
          <w:szCs w:val="24"/>
        </w:rPr>
        <w:t>ach SURE</w:t>
      </w:r>
      <w:r w:rsidR="00A467B6">
        <w:rPr>
          <w:rFonts w:ascii="Times New Roman" w:hAnsi="Times New Roman"/>
          <w:b/>
          <w:color w:val="000000" w:themeColor="text1"/>
          <w:sz w:val="24"/>
          <w:szCs w:val="24"/>
        </w:rPr>
        <w:t>.</w:t>
      </w:r>
      <w:r w:rsidR="00A467B6">
        <w:rPr>
          <w:rFonts w:ascii="Times New Roman" w:hAnsi="Times New Roman"/>
          <w:color w:val="000000" w:themeColor="text1"/>
          <w:sz w:val="24"/>
          <w:szCs w:val="24"/>
        </w:rPr>
        <w:t xml:space="preserve"> W</w:t>
      </w:r>
      <w:r w:rsidR="00A467B6">
        <w:rPr>
          <w:rFonts w:ascii="Times New Roman" w:hAnsi="Times New Roman"/>
          <w:b/>
          <w:color w:val="000000" w:themeColor="text1"/>
          <w:sz w:val="24"/>
          <w:szCs w:val="24"/>
        </w:rPr>
        <w:t> </w:t>
      </w:r>
      <w:r w:rsidR="00A467B6">
        <w:rPr>
          <w:rFonts w:ascii="Times New Roman" w:hAnsi="Times New Roman"/>
          <w:color w:val="000000" w:themeColor="text1"/>
          <w:sz w:val="24"/>
          <w:szCs w:val="24"/>
        </w:rPr>
        <w:t>pra</w:t>
      </w:r>
      <w:r>
        <w:rPr>
          <w:rFonts w:ascii="Times New Roman" w:hAnsi="Times New Roman"/>
          <w:color w:val="000000" w:themeColor="text1"/>
          <w:sz w:val="24"/>
          <w:szCs w:val="24"/>
        </w:rPr>
        <w:t>ktyce wydatki dokonane lub zaplanowane przez 15 państw członkowskich przekraczają obecną kwotę pomocy finansowej otrzymaną</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na kwalifikujące się środki (zob. wykres 4). Oznacza to, że</w:t>
      </w:r>
      <w:r w:rsidR="00A467B6">
        <w:rPr>
          <w:rFonts w:ascii="Times New Roman" w:hAnsi="Times New Roman"/>
          <w:color w:val="000000" w:themeColor="text1"/>
          <w:sz w:val="24"/>
          <w:szCs w:val="24"/>
        </w:rPr>
        <w:t xml:space="preserve"> w uję</w:t>
      </w:r>
      <w:r>
        <w:rPr>
          <w:rFonts w:ascii="Times New Roman" w:hAnsi="Times New Roman"/>
          <w:color w:val="000000" w:themeColor="text1"/>
          <w:sz w:val="24"/>
          <w:szCs w:val="24"/>
        </w:rPr>
        <w:t>ciu łącznym wydatki państw członkowskich na mechanizmy zmniejszonego wymiaru czasu pracy</w:t>
      </w:r>
      <w:r w:rsidR="00A467B6">
        <w:rPr>
          <w:rFonts w:ascii="Times New Roman" w:hAnsi="Times New Roman"/>
          <w:color w:val="000000" w:themeColor="text1"/>
          <w:sz w:val="24"/>
          <w:szCs w:val="24"/>
        </w:rPr>
        <w:t xml:space="preserve"> i pod</w:t>
      </w:r>
      <w:r>
        <w:rPr>
          <w:rFonts w:ascii="Times New Roman" w:hAnsi="Times New Roman"/>
          <w:color w:val="000000" w:themeColor="text1"/>
          <w:sz w:val="24"/>
          <w:szCs w:val="24"/>
        </w:rPr>
        <w:t>obne środki przewyższą kwotę określoną</w:t>
      </w:r>
      <w:r w:rsidR="00A467B6">
        <w:rPr>
          <w:rFonts w:ascii="Times New Roman" w:hAnsi="Times New Roman"/>
          <w:color w:val="000000" w:themeColor="text1"/>
          <w:sz w:val="24"/>
          <w:szCs w:val="24"/>
        </w:rPr>
        <w:t xml:space="preserve"> w zło</w:t>
      </w:r>
      <w:r>
        <w:rPr>
          <w:rFonts w:ascii="Times New Roman" w:hAnsi="Times New Roman"/>
          <w:color w:val="000000" w:themeColor="text1"/>
          <w:sz w:val="24"/>
          <w:szCs w:val="24"/>
        </w:rPr>
        <w:t>żonych wnioskach</w:t>
      </w:r>
      <w:r w:rsidR="00A467B6">
        <w:rPr>
          <w:rFonts w:ascii="Times New Roman" w:hAnsi="Times New Roman"/>
          <w:color w:val="000000" w:themeColor="text1"/>
          <w:sz w:val="24"/>
          <w:szCs w:val="24"/>
        </w:rPr>
        <w:t xml:space="preserve"> o udz</w:t>
      </w:r>
      <w:r>
        <w:rPr>
          <w:rFonts w:ascii="Times New Roman" w:hAnsi="Times New Roman"/>
          <w:color w:val="000000" w:themeColor="text1"/>
          <w:sz w:val="24"/>
          <w:szCs w:val="24"/>
        </w:rPr>
        <w:t>ielenie pomocy finansowej</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Trzy państwa członkowskie zgłosiły jednak niższe planowane wydatki na środki przewidziane</w:t>
      </w:r>
      <w:r w:rsidR="00A467B6">
        <w:rPr>
          <w:rFonts w:ascii="Times New Roman" w:hAnsi="Times New Roman"/>
          <w:color w:val="000000" w:themeColor="text1"/>
          <w:sz w:val="24"/>
          <w:szCs w:val="24"/>
        </w:rPr>
        <w:t xml:space="preserve"> w sto</w:t>
      </w:r>
      <w:r>
        <w:rPr>
          <w:rFonts w:ascii="Times New Roman" w:hAnsi="Times New Roman"/>
          <w:color w:val="000000" w:themeColor="text1"/>
          <w:sz w:val="24"/>
          <w:szCs w:val="24"/>
        </w:rPr>
        <w:t>sownych decyzjach wykonawczych Rady niż kwota przyznana</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 xml:space="preserve">ach SURE. </w:t>
      </w:r>
      <w:r>
        <w:rPr>
          <w:rFonts w:ascii="Times New Roman" w:hAnsi="Times New Roman"/>
          <w:color w:val="000000" w:themeColor="text1"/>
          <w:sz w:val="24"/>
        </w:rPr>
        <w:t>Wniosek ten opiera się na zaktualizowanych sprawozdaniach przedstawionych przez państwa członkowskie, które wskazały również, że podjęły już albo</w:t>
      </w:r>
      <w:r w:rsidR="00A467B6">
        <w:rPr>
          <w:rFonts w:ascii="Times New Roman" w:hAnsi="Times New Roman"/>
          <w:color w:val="000000" w:themeColor="text1"/>
          <w:sz w:val="24"/>
        </w:rPr>
        <w:t xml:space="preserve"> w raz</w:t>
      </w:r>
      <w:r>
        <w:rPr>
          <w:rFonts w:ascii="Times New Roman" w:hAnsi="Times New Roman"/>
          <w:color w:val="000000" w:themeColor="text1"/>
          <w:sz w:val="24"/>
        </w:rPr>
        <w:t>ie potrzeby zamierzają podjąć kroki</w:t>
      </w:r>
      <w:r w:rsidR="00A467B6">
        <w:rPr>
          <w:rFonts w:ascii="Times New Roman" w:hAnsi="Times New Roman"/>
          <w:color w:val="000000" w:themeColor="text1"/>
          <w:sz w:val="24"/>
        </w:rPr>
        <w:t xml:space="preserve"> w cel</w:t>
      </w:r>
      <w:r>
        <w:rPr>
          <w:rFonts w:ascii="Times New Roman" w:hAnsi="Times New Roman"/>
          <w:color w:val="000000" w:themeColor="text1"/>
          <w:sz w:val="24"/>
        </w:rPr>
        <w:t>u wykorzystania całej pomocy finansowej przyznanej</w:t>
      </w:r>
      <w:r w:rsidR="00A467B6">
        <w:rPr>
          <w:rFonts w:ascii="Times New Roman" w:hAnsi="Times New Roman"/>
          <w:color w:val="000000" w:themeColor="text1"/>
          <w:sz w:val="24"/>
        </w:rPr>
        <w:t xml:space="preserve"> w ram</w:t>
      </w:r>
      <w:r>
        <w:rPr>
          <w:rFonts w:ascii="Times New Roman" w:hAnsi="Times New Roman"/>
          <w:color w:val="000000" w:themeColor="text1"/>
          <w:sz w:val="24"/>
        </w:rPr>
        <w:t>ach SURE,</w:t>
      </w:r>
      <w:r w:rsidR="00A467B6">
        <w:rPr>
          <w:rFonts w:ascii="Times New Roman" w:hAnsi="Times New Roman"/>
          <w:color w:val="000000" w:themeColor="text1"/>
          <w:sz w:val="24"/>
        </w:rPr>
        <w:t xml:space="preserve"> w tym w nie</w:t>
      </w:r>
      <w:r>
        <w:rPr>
          <w:rFonts w:ascii="Times New Roman" w:hAnsi="Times New Roman"/>
          <w:color w:val="000000" w:themeColor="text1"/>
          <w:sz w:val="24"/>
        </w:rPr>
        <w:t>których przypadkach wydłużając okres obowiązywania środków przewidzianych</w:t>
      </w:r>
      <w:r w:rsidR="00A467B6">
        <w:rPr>
          <w:rFonts w:ascii="Times New Roman" w:hAnsi="Times New Roman"/>
          <w:color w:val="000000" w:themeColor="text1"/>
          <w:sz w:val="24"/>
        </w:rPr>
        <w:t xml:space="preserve"> w odp</w:t>
      </w:r>
      <w:r>
        <w:rPr>
          <w:rFonts w:ascii="Times New Roman" w:hAnsi="Times New Roman"/>
          <w:color w:val="000000" w:themeColor="text1"/>
          <w:sz w:val="24"/>
        </w:rPr>
        <w:t>owiednich decyzjach wykonawczych Rady. Komisja przeanalizuje wszystkie zmiany planowanych wydatków, przedstawione przez państwa członkowskie,</w:t>
      </w:r>
      <w:r w:rsidR="00A467B6">
        <w:rPr>
          <w:rFonts w:ascii="Times New Roman" w:hAnsi="Times New Roman"/>
          <w:color w:val="000000" w:themeColor="text1"/>
          <w:sz w:val="24"/>
        </w:rPr>
        <w:t xml:space="preserve"> w cel</w:t>
      </w:r>
      <w:r>
        <w:rPr>
          <w:rFonts w:ascii="Times New Roman" w:hAnsi="Times New Roman"/>
          <w:color w:val="000000" w:themeColor="text1"/>
          <w:sz w:val="24"/>
        </w:rPr>
        <w:t>u zapewnienia, aby wydatki pozostały zgodne</w:t>
      </w:r>
      <w:r w:rsidR="00A467B6">
        <w:rPr>
          <w:rFonts w:ascii="Times New Roman" w:hAnsi="Times New Roman"/>
          <w:color w:val="000000" w:themeColor="text1"/>
          <w:sz w:val="24"/>
        </w:rPr>
        <w:t xml:space="preserve"> z cel</w:t>
      </w:r>
      <w:r>
        <w:rPr>
          <w:rFonts w:ascii="Times New Roman" w:hAnsi="Times New Roman"/>
          <w:color w:val="000000" w:themeColor="text1"/>
          <w:sz w:val="24"/>
        </w:rPr>
        <w:t>em SURE, oraz</w:t>
      </w:r>
      <w:r w:rsidR="00A467B6">
        <w:rPr>
          <w:rFonts w:ascii="Times New Roman" w:hAnsi="Times New Roman"/>
          <w:color w:val="000000" w:themeColor="text1"/>
          <w:sz w:val="24"/>
        </w:rPr>
        <w:t xml:space="preserve"> w raz</w:t>
      </w:r>
      <w:r>
        <w:rPr>
          <w:rFonts w:ascii="Times New Roman" w:hAnsi="Times New Roman"/>
          <w:color w:val="000000" w:themeColor="text1"/>
          <w:sz w:val="24"/>
        </w:rPr>
        <w:t>ie potrzeby</w:t>
      </w:r>
      <w:r w:rsidR="00A467B6">
        <w:rPr>
          <w:rFonts w:ascii="Times New Roman" w:hAnsi="Times New Roman"/>
          <w:color w:val="000000" w:themeColor="text1"/>
          <w:sz w:val="24"/>
        </w:rPr>
        <w:t xml:space="preserve"> w cel</w:t>
      </w:r>
      <w:r>
        <w:rPr>
          <w:rFonts w:ascii="Times New Roman" w:hAnsi="Times New Roman"/>
          <w:color w:val="000000" w:themeColor="text1"/>
          <w:sz w:val="24"/>
        </w:rPr>
        <w:t>u zaproponowania zmian decyzji wykonawczych Rady.</w:t>
      </w:r>
    </w:p>
    <w:p w14:paraId="5FDD2FC6" w14:textId="77777777" w:rsidR="009D29AB" w:rsidRPr="000C43EC" w:rsidRDefault="009D29AB" w:rsidP="009D29AB">
      <w:pPr>
        <w:spacing w:after="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D29AB" w:rsidRPr="009D29AB" w14:paraId="636049B2" w14:textId="77777777" w:rsidTr="00D61F7B">
        <w:tc>
          <w:tcPr>
            <w:tcW w:w="4788" w:type="dxa"/>
          </w:tcPr>
          <w:p w14:paraId="437EA85B" w14:textId="1EDDDE1E" w:rsidR="009D29AB" w:rsidRPr="000B55BD" w:rsidRDefault="009D29AB" w:rsidP="009D29AB">
            <w:pPr>
              <w:spacing w:before="120"/>
              <w:jc w:val="center"/>
              <w:rPr>
                <w:rFonts w:ascii="Times New Roman" w:hAnsi="Times New Roman" w:cs="Times New Roman"/>
                <w:color w:val="000000" w:themeColor="text1"/>
                <w:sz w:val="24"/>
                <w:szCs w:val="24"/>
                <w:lang w:val="en-US"/>
              </w:rPr>
            </w:pPr>
            <w:r>
              <w:rPr>
                <w:rFonts w:ascii="Times New Roman" w:hAnsi="Times New Roman"/>
                <w:b/>
                <w:color w:val="000000" w:themeColor="text1"/>
                <w:sz w:val="24"/>
                <w:szCs w:val="24"/>
              </w:rPr>
              <w:t>Wykres 4: Nadwyżka planowanych</w:t>
            </w:r>
            <w:r w:rsidR="00A467B6">
              <w:rPr>
                <w:rFonts w:ascii="Times New Roman" w:hAnsi="Times New Roman"/>
                <w:b/>
                <w:color w:val="000000" w:themeColor="text1"/>
                <w:sz w:val="24"/>
                <w:szCs w:val="24"/>
              </w:rPr>
              <w:t xml:space="preserve"> i pon</w:t>
            </w:r>
            <w:r>
              <w:rPr>
                <w:rFonts w:ascii="Times New Roman" w:hAnsi="Times New Roman"/>
                <w:b/>
                <w:color w:val="000000" w:themeColor="text1"/>
                <w:sz w:val="24"/>
                <w:szCs w:val="24"/>
              </w:rPr>
              <w:t>iesionych wydatków publicznych ponad kwotę pożyczki (% kwoty pożyczki)</w:t>
            </w:r>
            <w:r>
              <w:rPr>
                <w:rFonts w:ascii="Times New Roman" w:hAnsi="Times New Roman"/>
                <w:color w:val="000000" w:themeColor="text1"/>
                <w:sz w:val="24"/>
                <w:szCs w:val="24"/>
              </w:rPr>
              <w:t xml:space="preserve"> </w:t>
            </w:r>
            <w:r w:rsidR="000B55BD" w:rsidRPr="00397D96">
              <w:rPr>
                <w:rFonts w:ascii="Times New Roman" w:hAnsi="Times New Roman"/>
                <w:noProof/>
                <w:color w:val="000000" w:themeColor="text1"/>
                <w:sz w:val="24"/>
                <w:szCs w:val="24"/>
                <w:lang w:val="en-US"/>
              </w:rPr>
              <w:drawing>
                <wp:inline distT="0" distB="0" distL="0" distR="0" wp14:anchorId="7E318155" wp14:editId="4C3BA638">
                  <wp:extent cx="2860040" cy="213741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inline>
              </w:drawing>
            </w:r>
          </w:p>
        </w:tc>
        <w:tc>
          <w:tcPr>
            <w:tcW w:w="4788" w:type="dxa"/>
          </w:tcPr>
          <w:p w14:paraId="6D0D7456" w14:textId="77777777" w:rsidR="009D29AB" w:rsidRPr="009D29AB" w:rsidRDefault="009D29AB" w:rsidP="009D29AB">
            <w:pPr>
              <w:spacing w:before="12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Wykres 5: Udział wydatków publicznych przeznaczonych na środki ochrony zdrowia</w:t>
            </w:r>
            <w:r>
              <w:rPr>
                <w:rFonts w:ascii="Times New Roman" w:hAnsi="Times New Roman"/>
                <w:color w:val="000000" w:themeColor="text1"/>
                <w:sz w:val="24"/>
                <w:szCs w:val="24"/>
              </w:rPr>
              <w:t xml:space="preserve"> </w:t>
            </w:r>
          </w:p>
          <w:p w14:paraId="3834F9CF" w14:textId="3A7978D3" w:rsidR="009D29AB" w:rsidRPr="009D29AB" w:rsidRDefault="000B55BD" w:rsidP="009D29AB">
            <w:pPr>
              <w:spacing w:before="120"/>
              <w:jc w:val="center"/>
              <w:rPr>
                <w:rFonts w:ascii="Times New Roman" w:hAnsi="Times New Roman" w:cs="Times New Roman"/>
                <w:color w:val="000000" w:themeColor="text1"/>
                <w:sz w:val="24"/>
                <w:szCs w:val="24"/>
              </w:rPr>
            </w:pPr>
            <w:r w:rsidRPr="00397D96">
              <w:rPr>
                <w:rFonts w:ascii="Times New Roman" w:hAnsi="Times New Roman" w:cs="Times New Roman"/>
                <w:noProof/>
                <w:color w:val="000000" w:themeColor="text1"/>
                <w:sz w:val="24"/>
                <w:szCs w:val="24"/>
                <w:lang w:val="en-US"/>
              </w:rPr>
              <w:drawing>
                <wp:inline distT="0" distB="0" distL="0" distR="0" wp14:anchorId="611D0A32" wp14:editId="321D0E4F">
                  <wp:extent cx="2881630" cy="238188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81630" cy="2381885"/>
                          </a:xfrm>
                          <a:prstGeom prst="rect">
                            <a:avLst/>
                          </a:prstGeom>
                          <a:noFill/>
                          <a:ln>
                            <a:noFill/>
                          </a:ln>
                        </pic:spPr>
                      </pic:pic>
                    </a:graphicData>
                  </a:graphic>
                </wp:inline>
              </w:drawing>
            </w:r>
          </w:p>
        </w:tc>
      </w:tr>
    </w:tbl>
    <w:p w14:paraId="7FF82726" w14:textId="799AFCA0" w:rsidR="009D29AB" w:rsidRPr="009D29AB" w:rsidRDefault="009D29AB" w:rsidP="009D29AB">
      <w:pPr>
        <w:spacing w:after="0"/>
        <w:jc w:val="both"/>
        <w:rPr>
          <w:rFonts w:ascii="Times New Roman" w:hAnsi="Times New Roman" w:cs="Times New Roman"/>
          <w:sz w:val="24"/>
        </w:rPr>
      </w:pPr>
      <w:r>
        <w:rPr>
          <w:rFonts w:ascii="Times New Roman" w:hAnsi="Times New Roman"/>
          <w:color w:val="000000" w:themeColor="text1"/>
          <w:sz w:val="20"/>
        </w:rPr>
        <w:t xml:space="preserve">Uwaga: </w:t>
      </w:r>
      <w:r>
        <w:rPr>
          <w:rFonts w:ascii="Times New Roman" w:hAnsi="Times New Roman"/>
          <w:color w:val="000000"/>
          <w:sz w:val="20"/>
          <w:szCs w:val="20"/>
        </w:rPr>
        <w:t>wydatki publiczne oznaczają wydatki zgłoszone, bez korekty</w:t>
      </w:r>
      <w:r w:rsidR="00A467B6">
        <w:rPr>
          <w:rFonts w:ascii="Times New Roman" w:hAnsi="Times New Roman"/>
          <w:color w:val="000000"/>
          <w:sz w:val="20"/>
          <w:szCs w:val="20"/>
        </w:rPr>
        <w:t xml:space="preserve"> o lim</w:t>
      </w:r>
      <w:r>
        <w:rPr>
          <w:rFonts w:ascii="Times New Roman" w:hAnsi="Times New Roman"/>
          <w:color w:val="000000"/>
          <w:sz w:val="20"/>
          <w:szCs w:val="20"/>
        </w:rPr>
        <w:t>it koncentracji,</w:t>
      </w:r>
      <w:r w:rsidR="00A467B6">
        <w:rPr>
          <w:rFonts w:ascii="Times New Roman" w:hAnsi="Times New Roman"/>
          <w:color w:val="000000"/>
          <w:sz w:val="20"/>
          <w:szCs w:val="20"/>
        </w:rPr>
        <w:t xml:space="preserve"> i prz</w:t>
      </w:r>
      <w:r>
        <w:rPr>
          <w:rFonts w:ascii="Times New Roman" w:hAnsi="Times New Roman"/>
          <w:color w:val="000000"/>
          <w:sz w:val="20"/>
          <w:szCs w:val="20"/>
        </w:rPr>
        <w:t>eznaczone na środki określone</w:t>
      </w:r>
      <w:r w:rsidR="00A467B6">
        <w:rPr>
          <w:rFonts w:ascii="Times New Roman" w:hAnsi="Times New Roman"/>
          <w:color w:val="000000"/>
          <w:sz w:val="20"/>
          <w:szCs w:val="20"/>
        </w:rPr>
        <w:t xml:space="preserve"> w dec</w:t>
      </w:r>
      <w:r>
        <w:rPr>
          <w:rFonts w:ascii="Times New Roman" w:hAnsi="Times New Roman"/>
          <w:color w:val="000000"/>
          <w:sz w:val="20"/>
          <w:szCs w:val="20"/>
        </w:rPr>
        <w:t>yzjach wykonawczych Rady, tj. wyłączono wszelkie zgłoszone przez państwa członkowskie nowe środki, których nie uwzględniono</w:t>
      </w:r>
      <w:r w:rsidR="00A467B6">
        <w:rPr>
          <w:rFonts w:ascii="Times New Roman" w:hAnsi="Times New Roman"/>
          <w:color w:val="000000"/>
          <w:sz w:val="20"/>
          <w:szCs w:val="20"/>
        </w:rPr>
        <w:t xml:space="preserve"> w dec</w:t>
      </w:r>
      <w:r>
        <w:rPr>
          <w:rFonts w:ascii="Times New Roman" w:hAnsi="Times New Roman"/>
          <w:color w:val="000000"/>
          <w:sz w:val="20"/>
          <w:szCs w:val="20"/>
        </w:rPr>
        <w:t>yzjach wykonawczych Rady.</w:t>
      </w:r>
      <w:r>
        <w:rPr>
          <w:rFonts w:ascii="Times New Roman" w:hAnsi="Times New Roman"/>
          <w:color w:val="000000" w:themeColor="text1"/>
          <w:sz w:val="20"/>
          <w:szCs w:val="24"/>
        </w:rPr>
        <w:t xml:space="preserve"> </w:t>
      </w:r>
      <w:r>
        <w:rPr>
          <w:rFonts w:ascii="Times New Roman" w:hAnsi="Times New Roman"/>
          <w:color w:val="000000" w:themeColor="text1"/>
          <w:sz w:val="20"/>
        </w:rPr>
        <w:t>Dane zgłoszone</w:t>
      </w:r>
      <w:r w:rsidR="00A467B6">
        <w:rPr>
          <w:rFonts w:ascii="Times New Roman" w:hAnsi="Times New Roman"/>
          <w:color w:val="000000" w:themeColor="text1"/>
          <w:sz w:val="20"/>
        </w:rPr>
        <w:t xml:space="preserve"> w tab</w:t>
      </w:r>
      <w:r>
        <w:rPr>
          <w:rFonts w:ascii="Times New Roman" w:hAnsi="Times New Roman"/>
          <w:color w:val="000000" w:themeColor="text1"/>
          <w:sz w:val="20"/>
        </w:rPr>
        <w:t>elach sprawozdawczych przedstawionych przez państwa członkowskie. Państwa członkowskie,</w:t>
      </w:r>
      <w:r w:rsidR="00A467B6">
        <w:rPr>
          <w:rFonts w:ascii="Times New Roman" w:hAnsi="Times New Roman"/>
          <w:color w:val="000000" w:themeColor="text1"/>
          <w:sz w:val="20"/>
        </w:rPr>
        <w:t xml:space="preserve"> w prz</w:t>
      </w:r>
      <w:r>
        <w:rPr>
          <w:rFonts w:ascii="Times New Roman" w:hAnsi="Times New Roman"/>
          <w:color w:val="000000" w:themeColor="text1"/>
          <w:sz w:val="20"/>
        </w:rPr>
        <w:t>ypadku których odnotowano niedobór środków, jak widać na wykresie 4, zamierzają wykorzystać pełną kwotę przyznaną</w:t>
      </w:r>
      <w:r w:rsidR="00A467B6">
        <w:rPr>
          <w:rFonts w:ascii="Times New Roman" w:hAnsi="Times New Roman"/>
          <w:color w:val="000000" w:themeColor="text1"/>
          <w:sz w:val="20"/>
        </w:rPr>
        <w:t xml:space="preserve"> w ram</w:t>
      </w:r>
      <w:r>
        <w:rPr>
          <w:rFonts w:ascii="Times New Roman" w:hAnsi="Times New Roman"/>
          <w:color w:val="000000" w:themeColor="text1"/>
          <w:sz w:val="20"/>
        </w:rPr>
        <w:t>ach SURE</w:t>
      </w:r>
      <w:r w:rsidR="00A467B6">
        <w:rPr>
          <w:rFonts w:ascii="Times New Roman" w:hAnsi="Times New Roman"/>
          <w:color w:val="000000" w:themeColor="text1"/>
          <w:sz w:val="20"/>
        </w:rPr>
        <w:t>. W szc</w:t>
      </w:r>
      <w:r>
        <w:rPr>
          <w:rFonts w:ascii="Times New Roman" w:hAnsi="Times New Roman"/>
          <w:color w:val="000000" w:themeColor="text1"/>
          <w:sz w:val="20"/>
        </w:rPr>
        <w:t xml:space="preserve">zególności władze włoskie wskazały, że planują wydać pełną przyznaną kwotę. </w:t>
      </w:r>
      <w:r>
        <w:rPr>
          <w:rFonts w:ascii="Times New Roman" w:hAnsi="Times New Roman"/>
          <w:sz w:val="20"/>
          <w:szCs w:val="18"/>
        </w:rPr>
        <w:t>Odnosząc się do wykresu 5,</w:t>
      </w:r>
      <w:r w:rsidR="00A467B6">
        <w:rPr>
          <w:rFonts w:ascii="Times New Roman" w:hAnsi="Times New Roman"/>
          <w:sz w:val="20"/>
          <w:szCs w:val="18"/>
        </w:rPr>
        <w:t xml:space="preserve"> w prz</w:t>
      </w:r>
      <w:r>
        <w:rPr>
          <w:rFonts w:ascii="Times New Roman" w:hAnsi="Times New Roman"/>
          <w:sz w:val="20"/>
          <w:szCs w:val="18"/>
        </w:rPr>
        <w:t>ypadku wstępnego wniosku Węgier</w:t>
      </w:r>
      <w:r w:rsidR="00A467B6">
        <w:rPr>
          <w:rFonts w:ascii="Times New Roman" w:hAnsi="Times New Roman"/>
          <w:sz w:val="20"/>
          <w:szCs w:val="18"/>
        </w:rPr>
        <w:t xml:space="preserve"> o udz</w:t>
      </w:r>
      <w:r>
        <w:rPr>
          <w:rFonts w:ascii="Times New Roman" w:hAnsi="Times New Roman"/>
          <w:sz w:val="20"/>
          <w:szCs w:val="18"/>
        </w:rPr>
        <w:t>ielenie pomocy finansowej zastosowano pułap na poziomie 4</w:t>
      </w:r>
      <w:r w:rsidRPr="00A467B6">
        <w:rPr>
          <w:rFonts w:ascii="Times New Roman" w:hAnsi="Times New Roman"/>
          <w:sz w:val="20"/>
          <w:szCs w:val="18"/>
        </w:rPr>
        <w:t>9</w:t>
      </w:r>
      <w:r w:rsidR="00A467B6" w:rsidRPr="00A467B6">
        <w:rPr>
          <w:rFonts w:ascii="Times New Roman" w:hAnsi="Times New Roman"/>
          <w:sz w:val="20"/>
          <w:szCs w:val="18"/>
        </w:rPr>
        <w:t> </w:t>
      </w:r>
      <w:r w:rsidRPr="00A467B6">
        <w:rPr>
          <w:rFonts w:ascii="Times New Roman" w:hAnsi="Times New Roman"/>
          <w:sz w:val="20"/>
          <w:szCs w:val="18"/>
        </w:rPr>
        <w:t>%</w:t>
      </w:r>
      <w:r>
        <w:rPr>
          <w:rFonts w:ascii="Times New Roman" w:hAnsi="Times New Roman"/>
          <w:sz w:val="20"/>
          <w:szCs w:val="18"/>
        </w:rPr>
        <w:t xml:space="preserve"> wydatków na środki ochrony zdrowia, ponieważ mają one charakter dodatkowy,</w:t>
      </w:r>
      <w:r w:rsidR="00A467B6">
        <w:rPr>
          <w:rFonts w:ascii="Times New Roman" w:hAnsi="Times New Roman"/>
          <w:sz w:val="20"/>
          <w:szCs w:val="18"/>
        </w:rPr>
        <w:t xml:space="preserve"> w zwi</w:t>
      </w:r>
      <w:r>
        <w:rPr>
          <w:rFonts w:ascii="Times New Roman" w:hAnsi="Times New Roman"/>
          <w:sz w:val="20"/>
          <w:szCs w:val="18"/>
        </w:rPr>
        <w:t>ązku</w:t>
      </w:r>
      <w:r w:rsidR="00A467B6">
        <w:rPr>
          <w:rFonts w:ascii="Times New Roman" w:hAnsi="Times New Roman"/>
          <w:sz w:val="20"/>
          <w:szCs w:val="18"/>
        </w:rPr>
        <w:t xml:space="preserve"> z czy</w:t>
      </w:r>
      <w:r>
        <w:rPr>
          <w:rFonts w:ascii="Times New Roman" w:hAnsi="Times New Roman"/>
          <w:sz w:val="20"/>
          <w:szCs w:val="18"/>
        </w:rPr>
        <w:t xml:space="preserve">m nie można było przeznaczyć na nie połowy lub </w:t>
      </w:r>
      <w:r>
        <w:rPr>
          <w:rFonts w:ascii="Times New Roman" w:hAnsi="Times New Roman"/>
          <w:color w:val="000000" w:themeColor="text1"/>
          <w:sz w:val="20"/>
          <w:szCs w:val="18"/>
        </w:rPr>
        <w:t>większej części łącznej kwoty przyznanej</w:t>
      </w:r>
      <w:r w:rsidR="00A467B6">
        <w:rPr>
          <w:rFonts w:ascii="Times New Roman" w:hAnsi="Times New Roman"/>
          <w:color w:val="000000" w:themeColor="text1"/>
          <w:sz w:val="20"/>
          <w:szCs w:val="18"/>
        </w:rPr>
        <w:t xml:space="preserve"> w ram</w:t>
      </w:r>
      <w:r>
        <w:rPr>
          <w:rFonts w:ascii="Times New Roman" w:hAnsi="Times New Roman"/>
          <w:color w:val="000000" w:themeColor="text1"/>
          <w:sz w:val="20"/>
          <w:szCs w:val="18"/>
        </w:rPr>
        <w:t xml:space="preserve">ach SURE. </w:t>
      </w:r>
      <w:r>
        <w:rPr>
          <w:rFonts w:ascii="Times New Roman" w:hAnsi="Times New Roman"/>
          <w:sz w:val="20"/>
          <w:szCs w:val="18"/>
        </w:rPr>
        <w:t>Zgodnie</w:t>
      </w:r>
      <w:r w:rsidR="00A467B6">
        <w:rPr>
          <w:rFonts w:ascii="Times New Roman" w:hAnsi="Times New Roman"/>
          <w:sz w:val="20"/>
          <w:szCs w:val="18"/>
        </w:rPr>
        <w:t xml:space="preserve"> z zak</w:t>
      </w:r>
      <w:r>
        <w:rPr>
          <w:rFonts w:ascii="Times New Roman" w:hAnsi="Times New Roman"/>
          <w:sz w:val="20"/>
          <w:szCs w:val="18"/>
        </w:rPr>
        <w:t>tualizowanymi sprawozdaniami</w:t>
      </w:r>
      <w:r w:rsidR="00A467B6">
        <w:rPr>
          <w:rFonts w:ascii="Times New Roman" w:hAnsi="Times New Roman"/>
          <w:sz w:val="20"/>
          <w:szCs w:val="18"/>
        </w:rPr>
        <w:t xml:space="preserve"> w prz</w:t>
      </w:r>
      <w:r>
        <w:rPr>
          <w:rFonts w:ascii="Times New Roman" w:hAnsi="Times New Roman"/>
          <w:sz w:val="20"/>
          <w:szCs w:val="18"/>
        </w:rPr>
        <w:t>ypadku większości państw członkowskich korzystających</w:t>
      </w:r>
      <w:r w:rsidR="00A467B6">
        <w:rPr>
          <w:rFonts w:ascii="Times New Roman" w:hAnsi="Times New Roman"/>
          <w:sz w:val="20"/>
          <w:szCs w:val="18"/>
        </w:rPr>
        <w:t xml:space="preserve"> z pom</w:t>
      </w:r>
      <w:r>
        <w:rPr>
          <w:rFonts w:ascii="Times New Roman" w:hAnsi="Times New Roman"/>
          <w:sz w:val="20"/>
          <w:szCs w:val="18"/>
        </w:rPr>
        <w:t>ocy łączna kwota wydatków publicznych na środki kwalifikujące się</w:t>
      </w:r>
      <w:r w:rsidR="00A467B6">
        <w:rPr>
          <w:rFonts w:ascii="Times New Roman" w:hAnsi="Times New Roman"/>
          <w:sz w:val="20"/>
          <w:szCs w:val="18"/>
        </w:rPr>
        <w:t xml:space="preserve"> w ram</w:t>
      </w:r>
      <w:r>
        <w:rPr>
          <w:rFonts w:ascii="Times New Roman" w:hAnsi="Times New Roman"/>
          <w:sz w:val="20"/>
          <w:szCs w:val="18"/>
        </w:rPr>
        <w:t>ach SURE przekroczy maksymalną kwotę przyznaną</w:t>
      </w:r>
      <w:r w:rsidR="00A467B6">
        <w:rPr>
          <w:rFonts w:ascii="Times New Roman" w:hAnsi="Times New Roman"/>
          <w:sz w:val="20"/>
          <w:szCs w:val="18"/>
        </w:rPr>
        <w:t xml:space="preserve"> w ram</w:t>
      </w:r>
      <w:r>
        <w:rPr>
          <w:rFonts w:ascii="Times New Roman" w:hAnsi="Times New Roman"/>
          <w:sz w:val="20"/>
          <w:szCs w:val="18"/>
        </w:rPr>
        <w:t>ach SURE (w związku</w:t>
      </w:r>
      <w:r w:rsidR="00A467B6">
        <w:rPr>
          <w:rFonts w:ascii="Times New Roman" w:hAnsi="Times New Roman"/>
          <w:sz w:val="20"/>
          <w:szCs w:val="18"/>
        </w:rPr>
        <w:t xml:space="preserve"> z czy</w:t>
      </w:r>
      <w:r>
        <w:rPr>
          <w:rFonts w:ascii="Times New Roman" w:hAnsi="Times New Roman"/>
          <w:sz w:val="20"/>
          <w:szCs w:val="18"/>
        </w:rPr>
        <w:t>m wydatki te będą musiały być finansowane na szczeblu krajowym lub</w:t>
      </w:r>
      <w:r w:rsidR="00A467B6">
        <w:rPr>
          <w:rFonts w:ascii="Times New Roman" w:hAnsi="Times New Roman"/>
          <w:sz w:val="20"/>
          <w:szCs w:val="18"/>
        </w:rPr>
        <w:t xml:space="preserve"> z wyk</w:t>
      </w:r>
      <w:r>
        <w:rPr>
          <w:rFonts w:ascii="Times New Roman" w:hAnsi="Times New Roman"/>
          <w:sz w:val="20"/>
          <w:szCs w:val="18"/>
        </w:rPr>
        <w:t>orzystaniem innych instrumentów)</w:t>
      </w:r>
      <w:r w:rsidR="00A467B6" w:rsidRPr="00A467B6">
        <w:rPr>
          <w:rFonts w:ascii="Times New Roman" w:hAnsi="Times New Roman"/>
          <w:sz w:val="20"/>
          <w:szCs w:val="18"/>
        </w:rPr>
        <w:t>. W</w:t>
      </w:r>
      <w:r w:rsidR="00A467B6">
        <w:rPr>
          <w:rFonts w:ascii="Times New Roman" w:hAnsi="Times New Roman"/>
          <w:sz w:val="20"/>
          <w:szCs w:val="18"/>
        </w:rPr>
        <w:t> szc</w:t>
      </w:r>
      <w:r>
        <w:rPr>
          <w:rFonts w:ascii="Times New Roman" w:hAnsi="Times New Roman"/>
          <w:sz w:val="20"/>
          <w:szCs w:val="18"/>
        </w:rPr>
        <w:t>zególnym przypadku Węgier nadwyżka ta</w:t>
      </w:r>
      <w:r w:rsidR="00A467B6">
        <w:rPr>
          <w:rFonts w:ascii="Times New Roman" w:hAnsi="Times New Roman"/>
          <w:sz w:val="20"/>
          <w:szCs w:val="18"/>
        </w:rPr>
        <w:t xml:space="preserve"> w nie</w:t>
      </w:r>
      <w:r>
        <w:rPr>
          <w:rFonts w:ascii="Times New Roman" w:hAnsi="Times New Roman"/>
          <w:sz w:val="20"/>
          <w:szCs w:val="18"/>
        </w:rPr>
        <w:t>współmiernym stopniu wiąże się ze środkami ochrony zdrowia, co wyjaśnia wzrost udziału wydatków na te środki do poziomu ponad 5</w:t>
      </w:r>
      <w:r w:rsidRPr="00A467B6">
        <w:rPr>
          <w:rFonts w:ascii="Times New Roman" w:hAnsi="Times New Roman"/>
          <w:sz w:val="20"/>
          <w:szCs w:val="18"/>
        </w:rPr>
        <w:t>0</w:t>
      </w:r>
      <w:r w:rsidR="00A467B6" w:rsidRPr="00A467B6">
        <w:rPr>
          <w:rFonts w:ascii="Times New Roman" w:hAnsi="Times New Roman"/>
          <w:sz w:val="20"/>
          <w:szCs w:val="18"/>
        </w:rPr>
        <w:t> </w:t>
      </w:r>
      <w:r w:rsidRPr="00A467B6">
        <w:rPr>
          <w:rFonts w:ascii="Times New Roman" w:hAnsi="Times New Roman"/>
          <w:sz w:val="20"/>
          <w:szCs w:val="18"/>
        </w:rPr>
        <w:t>%</w:t>
      </w:r>
      <w:r>
        <w:rPr>
          <w:rFonts w:ascii="Times New Roman" w:hAnsi="Times New Roman"/>
          <w:sz w:val="20"/>
          <w:szCs w:val="18"/>
        </w:rPr>
        <w:t>.</w:t>
      </w:r>
      <w:r>
        <w:rPr>
          <w:rFonts w:ascii="Times New Roman" w:hAnsi="Times New Roman"/>
          <w:color w:val="000000"/>
          <w:szCs w:val="20"/>
        </w:rPr>
        <w:t xml:space="preserve"> </w:t>
      </w:r>
    </w:p>
    <w:p w14:paraId="6E02D5D0" w14:textId="77777777" w:rsidR="009D29AB" w:rsidRPr="000C43EC" w:rsidRDefault="009D29AB" w:rsidP="009D29AB">
      <w:pPr>
        <w:spacing w:after="0"/>
        <w:jc w:val="both"/>
        <w:rPr>
          <w:rFonts w:ascii="Times New Roman" w:hAnsi="Times New Roman" w:cs="Times New Roman"/>
          <w:b/>
          <w:color w:val="000000" w:themeColor="text1"/>
          <w:sz w:val="24"/>
          <w:szCs w:val="24"/>
        </w:rPr>
      </w:pPr>
    </w:p>
    <w:p w14:paraId="7DD173E3" w14:textId="125494BE" w:rsidR="009D29AB" w:rsidRPr="009D29AB" w:rsidRDefault="009D29AB" w:rsidP="009D29AB">
      <w:pPr>
        <w:spacing w:after="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Państwa członkowskie przeznaczyły większość środków uzyskanych</w:t>
      </w:r>
      <w:r w:rsidR="00A467B6">
        <w:rPr>
          <w:rFonts w:ascii="Times New Roman" w:hAnsi="Times New Roman"/>
          <w:b/>
          <w:color w:val="000000" w:themeColor="text1"/>
          <w:sz w:val="24"/>
          <w:szCs w:val="24"/>
        </w:rPr>
        <w:t xml:space="preserve"> w dro</w:t>
      </w:r>
      <w:r>
        <w:rPr>
          <w:rFonts w:ascii="Times New Roman" w:hAnsi="Times New Roman"/>
          <w:b/>
          <w:color w:val="000000" w:themeColor="text1"/>
          <w:sz w:val="24"/>
          <w:szCs w:val="24"/>
        </w:rPr>
        <w:t>dze pomocy finansowej</w:t>
      </w:r>
      <w:r w:rsidR="00A467B6">
        <w:rPr>
          <w:rFonts w:ascii="Times New Roman" w:hAnsi="Times New Roman"/>
          <w:b/>
          <w:color w:val="000000" w:themeColor="text1"/>
          <w:sz w:val="24"/>
          <w:szCs w:val="24"/>
        </w:rPr>
        <w:t xml:space="preserve"> w ram</w:t>
      </w:r>
      <w:r>
        <w:rPr>
          <w:rFonts w:ascii="Times New Roman" w:hAnsi="Times New Roman"/>
          <w:b/>
          <w:color w:val="000000" w:themeColor="text1"/>
          <w:sz w:val="24"/>
          <w:szCs w:val="24"/>
        </w:rPr>
        <w:t xml:space="preserve">ach SURE na wsparcie instrumentów rynku pracy, przy czym ograniczona liczba państw członkowskich wykorzystała pomoc również na finansowanie środków ochrony zdrowia. </w:t>
      </w:r>
      <w:r>
        <w:rPr>
          <w:rFonts w:ascii="Times New Roman" w:hAnsi="Times New Roman"/>
          <w:color w:val="000000" w:themeColor="text1"/>
          <w:sz w:val="24"/>
          <w:szCs w:val="24"/>
        </w:rPr>
        <w:t xml:space="preserve">Do tej pory na środki ochrony zdrowia przeznaczono łącznie </w:t>
      </w:r>
      <w:r w:rsidRPr="00A467B6">
        <w:rPr>
          <w:rFonts w:ascii="Times New Roman" w:hAnsi="Times New Roman"/>
          <w:color w:val="000000" w:themeColor="text1"/>
          <w:sz w:val="24"/>
          <w:szCs w:val="24"/>
        </w:rPr>
        <w:t>5</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Pr>
          <w:rFonts w:ascii="Times New Roman" w:hAnsi="Times New Roman"/>
          <w:color w:val="000000" w:themeColor="text1"/>
          <w:sz w:val="24"/>
          <w:szCs w:val="24"/>
        </w:rPr>
        <w:t xml:space="preserve"> pomocy finansowej</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 przy czym 10 państw członkowskich wykorzystało uzyskaną pomoc finansową wyłącznie na sfinansowanie mechanizmów zmniejszonego wymiaru czasu pracy</w:t>
      </w:r>
      <w:r w:rsidR="00A467B6">
        <w:rPr>
          <w:rFonts w:ascii="Times New Roman" w:hAnsi="Times New Roman"/>
          <w:color w:val="000000" w:themeColor="text1"/>
          <w:sz w:val="24"/>
          <w:szCs w:val="24"/>
        </w:rPr>
        <w:t xml:space="preserve"> i pod</w:t>
      </w:r>
      <w:r>
        <w:rPr>
          <w:rFonts w:ascii="Times New Roman" w:hAnsi="Times New Roman"/>
          <w:color w:val="000000" w:themeColor="text1"/>
          <w:sz w:val="24"/>
          <w:szCs w:val="24"/>
        </w:rPr>
        <w:t>obnych środków (zob. wykres 5)</w:t>
      </w:r>
      <w:r w:rsidR="00A467B6">
        <w:rPr>
          <w:rFonts w:ascii="Times New Roman" w:hAnsi="Times New Roman"/>
          <w:color w:val="000000" w:themeColor="text1"/>
          <w:sz w:val="24"/>
          <w:szCs w:val="24"/>
        </w:rPr>
        <w:t>. W roz</w:t>
      </w:r>
      <w:r>
        <w:rPr>
          <w:rFonts w:ascii="Times New Roman" w:hAnsi="Times New Roman"/>
          <w:color w:val="000000" w:themeColor="text1"/>
          <w:sz w:val="24"/>
          <w:szCs w:val="24"/>
        </w:rPr>
        <w:t>porządzeniu</w:t>
      </w:r>
      <w:r w:rsidR="00A467B6">
        <w:rPr>
          <w:rFonts w:ascii="Times New Roman" w:hAnsi="Times New Roman"/>
          <w:color w:val="000000" w:themeColor="text1"/>
          <w:sz w:val="24"/>
          <w:szCs w:val="24"/>
        </w:rPr>
        <w:t xml:space="preserve"> w spr</w:t>
      </w:r>
      <w:r>
        <w:rPr>
          <w:rFonts w:ascii="Times New Roman" w:hAnsi="Times New Roman"/>
          <w:color w:val="000000" w:themeColor="text1"/>
          <w:sz w:val="24"/>
          <w:szCs w:val="24"/>
        </w:rPr>
        <w:t>awie SURE dopuszcza się finansowanie dodatkowo środków ochrony zdrowia</w:t>
      </w:r>
      <w:r w:rsidR="00A467B6">
        <w:rPr>
          <w:rFonts w:ascii="Times New Roman" w:hAnsi="Times New Roman"/>
          <w:color w:val="000000" w:themeColor="text1"/>
          <w:sz w:val="24"/>
          <w:szCs w:val="24"/>
        </w:rPr>
        <w:t>. W wyd</w:t>
      </w:r>
      <w:r>
        <w:rPr>
          <w:rFonts w:ascii="Times New Roman" w:hAnsi="Times New Roman"/>
          <w:color w:val="000000" w:themeColor="text1"/>
          <w:sz w:val="24"/>
          <w:szCs w:val="24"/>
        </w:rPr>
        <w:t>anych do tej pory decyzjach Rady dotyczących pomocy finansowej żadnemu państwu członkowskiemu nie zezwolono na przeznaczenie na środki ochrony zdrowia więcej niż 4</w:t>
      </w:r>
      <w:r w:rsidRPr="00A467B6">
        <w:rPr>
          <w:rFonts w:ascii="Times New Roman" w:hAnsi="Times New Roman"/>
          <w:color w:val="000000" w:themeColor="text1"/>
          <w:sz w:val="24"/>
          <w:szCs w:val="24"/>
        </w:rPr>
        <w:t>9</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Pr>
          <w:rFonts w:ascii="Times New Roman" w:hAnsi="Times New Roman"/>
          <w:color w:val="000000" w:themeColor="text1"/>
          <w:sz w:val="24"/>
          <w:szCs w:val="24"/>
        </w:rPr>
        <w:t xml:space="preserve"> pomocy</w:t>
      </w:r>
      <w:r>
        <w:rPr>
          <w:rFonts w:ascii="Times New Roman" w:hAnsi="Times New Roman" w:cs="Times New Roman"/>
          <w:color w:val="000000" w:themeColor="text1"/>
          <w:sz w:val="24"/>
          <w:szCs w:val="24"/>
          <w:vertAlign w:val="superscript"/>
          <w:lang w:val="en-US"/>
        </w:rPr>
        <w:footnoteReference w:id="22"/>
      </w:r>
      <w:r>
        <w:rPr>
          <w:rFonts w:ascii="Times New Roman" w:hAnsi="Times New Roman"/>
          <w:color w:val="000000" w:themeColor="text1"/>
          <w:sz w:val="24"/>
          <w:szCs w:val="24"/>
        </w:rPr>
        <w:t xml:space="preserve">. </w:t>
      </w:r>
    </w:p>
    <w:p w14:paraId="6757B7E2" w14:textId="77777777" w:rsidR="009D29AB" w:rsidRPr="000C43EC" w:rsidRDefault="009D29AB" w:rsidP="009D29AB">
      <w:pPr>
        <w:spacing w:after="0"/>
        <w:jc w:val="both"/>
        <w:rPr>
          <w:rFonts w:ascii="Times New Roman" w:hAnsi="Times New Roman" w:cs="Times New Roman"/>
          <w:color w:val="000000" w:themeColor="text1"/>
          <w:sz w:val="24"/>
          <w:szCs w:val="24"/>
        </w:rPr>
      </w:pPr>
    </w:p>
    <w:p w14:paraId="2B365303" w14:textId="3E656FB4" w:rsidR="009D29AB" w:rsidRPr="009D29AB" w:rsidRDefault="009D29AB" w:rsidP="009D29AB">
      <w:pPr>
        <w:spacing w:after="0"/>
        <w:jc w:val="both"/>
        <w:rPr>
          <w:rFonts w:ascii="Times New Roman" w:hAnsi="Times New Roman" w:cs="Times New Roman"/>
          <w:color w:val="000000" w:themeColor="text1"/>
          <w:sz w:val="24"/>
        </w:rPr>
      </w:pPr>
      <w:r>
        <w:rPr>
          <w:rFonts w:ascii="Times New Roman" w:hAnsi="Times New Roman"/>
          <w:b/>
          <w:color w:val="000000" w:themeColor="text1"/>
          <w:sz w:val="24"/>
          <w:szCs w:val="24"/>
        </w:rPr>
        <w:t>Pomoc finansowa</w:t>
      </w:r>
      <w:r w:rsidR="00A467B6">
        <w:rPr>
          <w:rFonts w:ascii="Times New Roman" w:hAnsi="Times New Roman"/>
          <w:b/>
          <w:color w:val="000000" w:themeColor="text1"/>
          <w:sz w:val="24"/>
          <w:szCs w:val="24"/>
        </w:rPr>
        <w:t xml:space="preserve"> w ram</w:t>
      </w:r>
      <w:r>
        <w:rPr>
          <w:rFonts w:ascii="Times New Roman" w:hAnsi="Times New Roman"/>
          <w:b/>
          <w:color w:val="000000" w:themeColor="text1"/>
          <w:sz w:val="24"/>
          <w:szCs w:val="24"/>
        </w:rPr>
        <w:t>ach SURE stanowi równowartość 2,</w:t>
      </w:r>
      <w:r w:rsidRPr="00A467B6">
        <w:rPr>
          <w:rFonts w:ascii="Times New Roman" w:hAnsi="Times New Roman"/>
          <w:b/>
          <w:color w:val="000000" w:themeColor="text1"/>
          <w:sz w:val="24"/>
          <w:szCs w:val="24"/>
        </w:rPr>
        <w:t>8</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wynagrodzeń pracowników</w:t>
      </w:r>
      <w:r w:rsidR="00A467B6">
        <w:rPr>
          <w:rFonts w:ascii="Times New Roman" w:hAnsi="Times New Roman"/>
          <w:b/>
          <w:color w:val="000000" w:themeColor="text1"/>
          <w:sz w:val="24"/>
          <w:szCs w:val="24"/>
        </w:rPr>
        <w:t xml:space="preserve"> i osó</w:t>
      </w:r>
      <w:r>
        <w:rPr>
          <w:rFonts w:ascii="Times New Roman" w:hAnsi="Times New Roman"/>
          <w:b/>
          <w:color w:val="000000" w:themeColor="text1"/>
          <w:sz w:val="24"/>
          <w:szCs w:val="24"/>
        </w:rPr>
        <w:t>b samozatrudnionych</w:t>
      </w:r>
      <w:r w:rsidR="00A467B6">
        <w:rPr>
          <w:rFonts w:ascii="Times New Roman" w:hAnsi="Times New Roman"/>
          <w:b/>
          <w:color w:val="000000" w:themeColor="text1"/>
          <w:sz w:val="24"/>
          <w:szCs w:val="24"/>
        </w:rPr>
        <w:t xml:space="preserve"> w pań</w:t>
      </w:r>
      <w:r>
        <w:rPr>
          <w:rFonts w:ascii="Times New Roman" w:hAnsi="Times New Roman"/>
          <w:b/>
          <w:color w:val="000000" w:themeColor="text1"/>
          <w:sz w:val="24"/>
          <w:szCs w:val="24"/>
        </w:rPr>
        <w:t>stwach członkowskich korzystających</w:t>
      </w:r>
      <w:r w:rsidR="00A467B6">
        <w:rPr>
          <w:rFonts w:ascii="Times New Roman" w:hAnsi="Times New Roman"/>
          <w:b/>
          <w:color w:val="000000" w:themeColor="text1"/>
          <w:sz w:val="24"/>
          <w:szCs w:val="24"/>
        </w:rPr>
        <w:t xml:space="preserve"> z pom</w:t>
      </w:r>
      <w:r>
        <w:rPr>
          <w:rFonts w:ascii="Times New Roman" w:hAnsi="Times New Roman"/>
          <w:b/>
          <w:color w:val="000000" w:themeColor="text1"/>
          <w:sz w:val="24"/>
          <w:szCs w:val="24"/>
        </w:rPr>
        <w:t>ocy</w:t>
      </w:r>
      <w:r w:rsidR="00A467B6">
        <w:rPr>
          <w:rFonts w:ascii="Times New Roman" w:hAnsi="Times New Roman"/>
          <w:b/>
          <w:color w:val="000000" w:themeColor="text1"/>
          <w:sz w:val="24"/>
          <w:szCs w:val="24"/>
        </w:rPr>
        <w:t xml:space="preserve"> w 2</w:t>
      </w:r>
      <w:r>
        <w:rPr>
          <w:rFonts w:ascii="Times New Roman" w:hAnsi="Times New Roman"/>
          <w:b/>
          <w:color w:val="000000" w:themeColor="text1"/>
          <w:sz w:val="24"/>
          <w:szCs w:val="24"/>
        </w:rPr>
        <w:t>0</w:t>
      </w:r>
      <w:r w:rsidRPr="00A467B6">
        <w:rPr>
          <w:rFonts w:ascii="Times New Roman" w:hAnsi="Times New Roman"/>
          <w:b/>
          <w:color w:val="000000" w:themeColor="text1"/>
          <w:sz w:val="24"/>
          <w:szCs w:val="24"/>
        </w:rPr>
        <w:t>20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r.</w:t>
      </w:r>
      <w:r w:rsidRPr="00A467B6">
        <w:rPr>
          <w:rFonts w:ascii="Times New Roman" w:hAnsi="Times New Roman" w:cs="Times New Roman"/>
          <w:color w:val="000000" w:themeColor="text1"/>
          <w:sz w:val="24"/>
          <w:vertAlign w:val="superscript"/>
        </w:rPr>
        <w:footnoteReference w:id="23"/>
      </w:r>
      <w:r w:rsidR="00A467B6" w:rsidRPr="00A467B6">
        <w:rPr>
          <w:rFonts w:ascii="Times New Roman" w:hAnsi="Times New Roman"/>
          <w:color w:val="000000" w:themeColor="text1"/>
          <w:sz w:val="24"/>
        </w:rPr>
        <w:t xml:space="preserve"> </w:t>
      </w:r>
      <w:r w:rsidRPr="00A467B6">
        <w:rPr>
          <w:rFonts w:ascii="Times New Roman" w:hAnsi="Times New Roman"/>
          <w:color w:val="000000" w:themeColor="text1"/>
          <w:sz w:val="24"/>
          <w:szCs w:val="24"/>
        </w:rPr>
        <w:t>O</w:t>
      </w:r>
      <w:r>
        <w:rPr>
          <w:rFonts w:ascii="Times New Roman" w:hAnsi="Times New Roman"/>
          <w:color w:val="000000" w:themeColor="text1"/>
          <w:sz w:val="24"/>
          <w:szCs w:val="24"/>
        </w:rPr>
        <w:t>dsetek ten waha się między 0,</w:t>
      </w:r>
      <w:r w:rsidRPr="00A467B6">
        <w:rPr>
          <w:rFonts w:ascii="Times New Roman" w:hAnsi="Times New Roman"/>
          <w:color w:val="000000" w:themeColor="text1"/>
          <w:sz w:val="24"/>
          <w:szCs w:val="24"/>
        </w:rPr>
        <w:t>8</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sidR="00A467B6">
        <w:rPr>
          <w:rFonts w:ascii="Times New Roman" w:hAnsi="Times New Roman"/>
          <w:color w:val="000000" w:themeColor="text1"/>
          <w:sz w:val="24"/>
        </w:rPr>
        <w:t xml:space="preserve"> a </w:t>
      </w:r>
      <w:r w:rsidR="00A467B6">
        <w:rPr>
          <w:rFonts w:ascii="Times New Roman" w:hAnsi="Times New Roman"/>
          <w:color w:val="000000" w:themeColor="text1"/>
          <w:sz w:val="24"/>
          <w:szCs w:val="24"/>
        </w:rPr>
        <w:t>5</w:t>
      </w:r>
      <w:r>
        <w:rPr>
          <w:rFonts w:ascii="Times New Roman" w:hAnsi="Times New Roman"/>
          <w:color w:val="000000" w:themeColor="text1"/>
          <w:sz w:val="24"/>
          <w:szCs w:val="24"/>
        </w:rPr>
        <w:t>,</w:t>
      </w:r>
      <w:r w:rsidRPr="00A467B6">
        <w:rPr>
          <w:rFonts w:ascii="Times New Roman" w:hAnsi="Times New Roman"/>
          <w:color w:val="000000" w:themeColor="text1"/>
          <w:sz w:val="24"/>
          <w:szCs w:val="24"/>
        </w:rPr>
        <w:t>3</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sidR="00A467B6">
        <w:rPr>
          <w:rFonts w:ascii="Times New Roman" w:hAnsi="Times New Roman"/>
          <w:color w:val="000000" w:themeColor="text1"/>
          <w:sz w:val="24"/>
          <w:szCs w:val="24"/>
        </w:rPr>
        <w:t xml:space="preserve"> w pos</w:t>
      </w:r>
      <w:r>
        <w:rPr>
          <w:rFonts w:ascii="Times New Roman" w:hAnsi="Times New Roman"/>
          <w:color w:val="000000" w:themeColor="text1"/>
          <w:sz w:val="24"/>
          <w:szCs w:val="24"/>
        </w:rPr>
        <w:t>zczególnych państwach członkowskich (zob. wykres 6). Udzielona pomoc finansowa stanowi także</w:t>
      </w:r>
      <w:r>
        <w:rPr>
          <w:rFonts w:ascii="Times New Roman" w:hAnsi="Times New Roman"/>
          <w:color w:val="000000" w:themeColor="text1"/>
          <w:sz w:val="24"/>
        </w:rPr>
        <w:t xml:space="preserve"> równowartość </w:t>
      </w:r>
      <w:r>
        <w:rPr>
          <w:rFonts w:ascii="Times New Roman" w:hAnsi="Times New Roman"/>
          <w:color w:val="000000" w:themeColor="text1"/>
          <w:sz w:val="24"/>
          <w:szCs w:val="24"/>
        </w:rPr>
        <w:t>1,</w:t>
      </w:r>
      <w:r w:rsidRPr="00A467B6">
        <w:rPr>
          <w:rFonts w:ascii="Times New Roman" w:hAnsi="Times New Roman"/>
          <w:color w:val="000000" w:themeColor="text1"/>
          <w:sz w:val="24"/>
          <w:szCs w:val="24"/>
        </w:rPr>
        <w:t>5</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Pr>
          <w:rFonts w:ascii="Times New Roman" w:hAnsi="Times New Roman"/>
          <w:color w:val="000000" w:themeColor="text1"/>
          <w:sz w:val="24"/>
          <w:szCs w:val="24"/>
        </w:rPr>
        <w:t xml:space="preserve"> PKB państw członkowskich korzystających</w:t>
      </w:r>
      <w:r w:rsidR="00A467B6">
        <w:rPr>
          <w:rFonts w:ascii="Times New Roman" w:hAnsi="Times New Roman"/>
          <w:color w:val="000000" w:themeColor="text1"/>
          <w:sz w:val="24"/>
          <w:szCs w:val="24"/>
        </w:rPr>
        <w:t xml:space="preserve"> z pom</w:t>
      </w:r>
      <w:r>
        <w:rPr>
          <w:rFonts w:ascii="Times New Roman" w:hAnsi="Times New Roman"/>
          <w:color w:val="000000" w:themeColor="text1"/>
          <w:sz w:val="24"/>
          <w:szCs w:val="24"/>
        </w:rPr>
        <w:t>ocy.</w:t>
      </w:r>
    </w:p>
    <w:p w14:paraId="5E1B61DF" w14:textId="77777777" w:rsidR="009D29AB" w:rsidRPr="000C43EC" w:rsidRDefault="009D29AB" w:rsidP="009D29AB">
      <w:pPr>
        <w:spacing w:after="0"/>
        <w:jc w:val="both"/>
        <w:rPr>
          <w:rFonts w:ascii="Times New Roman" w:hAnsi="Times New Roman" w:cs="Times New Roman"/>
          <w:color w:val="000000" w:themeColor="text1"/>
          <w:sz w:val="24"/>
        </w:rPr>
      </w:pPr>
    </w:p>
    <w:p w14:paraId="5B86824D" w14:textId="744EC9D6" w:rsidR="009D29AB" w:rsidRPr="009D29AB" w:rsidRDefault="009D29AB" w:rsidP="009D29AB">
      <w:pPr>
        <w:spacing w:after="0"/>
        <w:jc w:val="center"/>
        <w:rPr>
          <w:rFonts w:ascii="Times New Roman" w:hAnsi="Times New Roman" w:cs="Times New Roman"/>
          <w:color w:val="000000" w:themeColor="text1"/>
          <w:sz w:val="24"/>
          <w:szCs w:val="24"/>
        </w:rPr>
      </w:pPr>
      <w:r>
        <w:rPr>
          <w:rFonts w:ascii="Times New Roman" w:hAnsi="Times New Roman"/>
          <w:b/>
          <w:color w:val="000000" w:themeColor="text1"/>
          <w:sz w:val="24"/>
          <w:szCs w:val="24"/>
        </w:rPr>
        <w:t>Wykres 6:</w:t>
      </w:r>
      <w:r>
        <w:rPr>
          <w:rFonts w:ascii="Times New Roman" w:hAnsi="Times New Roman"/>
          <w:color w:val="000000" w:themeColor="text1"/>
          <w:sz w:val="24"/>
          <w:szCs w:val="24"/>
        </w:rPr>
        <w:t xml:space="preserve"> </w:t>
      </w:r>
      <w:r>
        <w:rPr>
          <w:rFonts w:ascii="Times New Roman" w:hAnsi="Times New Roman"/>
          <w:b/>
          <w:color w:val="000000" w:themeColor="text1"/>
          <w:sz w:val="24"/>
        </w:rPr>
        <w:t xml:space="preserve">Procent kwoty pożyczki, jaki stanowią </w:t>
      </w:r>
      <w:r>
        <w:rPr>
          <w:rFonts w:ascii="Times New Roman" w:hAnsi="Times New Roman"/>
          <w:b/>
          <w:color w:val="000000" w:themeColor="text1"/>
          <w:sz w:val="24"/>
          <w:szCs w:val="24"/>
        </w:rPr>
        <w:t>koszty wynagrodzeń pracowników</w:t>
      </w:r>
      <w:r w:rsidR="00A467B6">
        <w:rPr>
          <w:rFonts w:ascii="Times New Roman" w:hAnsi="Times New Roman"/>
          <w:b/>
          <w:color w:val="000000" w:themeColor="text1"/>
          <w:sz w:val="24"/>
          <w:szCs w:val="24"/>
        </w:rPr>
        <w:t xml:space="preserve"> i osó</w:t>
      </w:r>
      <w:r>
        <w:rPr>
          <w:rFonts w:ascii="Times New Roman" w:hAnsi="Times New Roman"/>
          <w:b/>
          <w:color w:val="000000" w:themeColor="text1"/>
          <w:sz w:val="24"/>
          <w:szCs w:val="24"/>
        </w:rPr>
        <w:t>b samozatrudnionych</w:t>
      </w:r>
      <w:r>
        <w:rPr>
          <w:rFonts w:ascii="Times New Roman" w:hAnsi="Times New Roman"/>
          <w:b/>
          <w:color w:val="000000" w:themeColor="text1"/>
          <w:sz w:val="24"/>
        </w:rPr>
        <w:t>,</w:t>
      </w:r>
      <w:r w:rsidR="00A467B6">
        <w:rPr>
          <w:rFonts w:ascii="Times New Roman" w:hAnsi="Times New Roman"/>
          <w:b/>
          <w:color w:val="000000" w:themeColor="text1"/>
          <w:sz w:val="24"/>
        </w:rPr>
        <w:t xml:space="preserve"> w pod</w:t>
      </w:r>
      <w:r>
        <w:rPr>
          <w:rFonts w:ascii="Times New Roman" w:hAnsi="Times New Roman"/>
          <w:b/>
          <w:color w:val="000000" w:themeColor="text1"/>
          <w:sz w:val="24"/>
        </w:rPr>
        <w:t>ziale na państwa członkowskie</w:t>
      </w:r>
      <w:r>
        <w:t xml:space="preserve"> </w:t>
      </w:r>
      <w:r>
        <w:br/>
      </w:r>
      <w:r w:rsidR="000B55BD" w:rsidRPr="00320D28">
        <w:rPr>
          <w:noProof/>
          <w:lang w:val="en-US"/>
        </w:rPr>
        <w:drawing>
          <wp:inline distT="0" distB="0" distL="0" distR="0" wp14:anchorId="2E90D127" wp14:editId="04B49ABD">
            <wp:extent cx="2881630" cy="215836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81630" cy="2158365"/>
                    </a:xfrm>
                    <a:prstGeom prst="rect">
                      <a:avLst/>
                    </a:prstGeom>
                    <a:noFill/>
                    <a:ln>
                      <a:noFill/>
                    </a:ln>
                  </pic:spPr>
                </pic:pic>
              </a:graphicData>
            </a:graphic>
          </wp:inline>
        </w:drawing>
      </w:r>
    </w:p>
    <w:p w14:paraId="52419917" w14:textId="56929C4D" w:rsidR="009D29AB" w:rsidRPr="009D29AB" w:rsidRDefault="009D29AB" w:rsidP="009D29AB">
      <w:pPr>
        <w:spacing w:after="0"/>
        <w:jc w:val="both"/>
        <w:rPr>
          <w:rFonts w:ascii="Times New Roman" w:hAnsi="Times New Roman" w:cs="Times New Roman"/>
          <w:color w:val="000000" w:themeColor="text1"/>
          <w:sz w:val="20"/>
          <w:szCs w:val="24"/>
        </w:rPr>
      </w:pPr>
      <w:r>
        <w:rPr>
          <w:rFonts w:ascii="Times New Roman" w:hAnsi="Times New Roman"/>
          <w:color w:val="000000" w:themeColor="text1"/>
          <w:sz w:val="20"/>
          <w:szCs w:val="24"/>
        </w:rPr>
        <w:t>Uwaga:</w:t>
      </w:r>
      <w:r w:rsidR="00A467B6">
        <w:rPr>
          <w:rFonts w:ascii="Times New Roman" w:hAnsi="Times New Roman"/>
          <w:color w:val="000000" w:themeColor="text1"/>
          <w:sz w:val="20"/>
          <w:szCs w:val="24"/>
        </w:rPr>
        <w:t xml:space="preserve"> w tym</w:t>
      </w:r>
      <w:r>
        <w:rPr>
          <w:rFonts w:ascii="Times New Roman" w:hAnsi="Times New Roman"/>
          <w:color w:val="000000" w:themeColor="text1"/>
          <w:sz w:val="20"/>
          <w:szCs w:val="24"/>
        </w:rPr>
        <w:t xml:space="preserve"> przypadku płace oblicza się jako wynagrodzenia pracowników</w:t>
      </w:r>
      <w:r w:rsidR="00A467B6">
        <w:rPr>
          <w:rFonts w:ascii="Times New Roman" w:hAnsi="Times New Roman"/>
          <w:color w:val="000000" w:themeColor="text1"/>
          <w:sz w:val="20"/>
          <w:szCs w:val="24"/>
        </w:rPr>
        <w:t xml:space="preserve"> i nad</w:t>
      </w:r>
      <w:r>
        <w:rPr>
          <w:rFonts w:ascii="Times New Roman" w:hAnsi="Times New Roman"/>
          <w:color w:val="000000" w:themeColor="text1"/>
          <w:sz w:val="20"/>
          <w:szCs w:val="24"/>
        </w:rPr>
        <w:t>wyżki operacyjne brutto powiększone</w:t>
      </w:r>
      <w:r w:rsidR="00A467B6">
        <w:rPr>
          <w:rFonts w:ascii="Times New Roman" w:hAnsi="Times New Roman"/>
          <w:color w:val="000000" w:themeColor="text1"/>
          <w:sz w:val="20"/>
          <w:szCs w:val="24"/>
        </w:rPr>
        <w:t xml:space="preserve"> o doc</w:t>
      </w:r>
      <w:r>
        <w:rPr>
          <w:rFonts w:ascii="Times New Roman" w:hAnsi="Times New Roman"/>
          <w:color w:val="000000" w:themeColor="text1"/>
          <w:sz w:val="20"/>
          <w:szCs w:val="24"/>
        </w:rPr>
        <w:t>hód mieszany gospodarstw domowych</w:t>
      </w:r>
      <w:r w:rsidR="00A467B6">
        <w:rPr>
          <w:rFonts w:ascii="Times New Roman" w:hAnsi="Times New Roman"/>
          <w:color w:val="000000" w:themeColor="text1"/>
          <w:sz w:val="20"/>
          <w:szCs w:val="24"/>
        </w:rPr>
        <w:t xml:space="preserve"> i ins</w:t>
      </w:r>
      <w:r>
        <w:rPr>
          <w:rFonts w:ascii="Times New Roman" w:hAnsi="Times New Roman"/>
          <w:color w:val="000000" w:themeColor="text1"/>
          <w:sz w:val="20"/>
          <w:szCs w:val="24"/>
        </w:rPr>
        <w:t>tytucji niekomercyjnych działających na rzecz gospodarstw domowych (płace osób samozatrudnionych). Szacunki</w:t>
      </w:r>
      <w:r w:rsidR="00A467B6">
        <w:rPr>
          <w:rFonts w:ascii="Times New Roman" w:hAnsi="Times New Roman"/>
          <w:color w:val="000000" w:themeColor="text1"/>
          <w:sz w:val="20"/>
          <w:szCs w:val="24"/>
        </w:rPr>
        <w:t xml:space="preserve"> z 2</w:t>
      </w:r>
      <w:r>
        <w:rPr>
          <w:rFonts w:ascii="Times New Roman" w:hAnsi="Times New Roman"/>
          <w:color w:val="000000" w:themeColor="text1"/>
          <w:sz w:val="20"/>
          <w:szCs w:val="24"/>
        </w:rPr>
        <w:t>0</w:t>
      </w:r>
      <w:r w:rsidRPr="00A467B6">
        <w:rPr>
          <w:rFonts w:ascii="Times New Roman" w:hAnsi="Times New Roman"/>
          <w:color w:val="000000" w:themeColor="text1"/>
          <w:sz w:val="20"/>
          <w:szCs w:val="24"/>
        </w:rPr>
        <w:t>20</w:t>
      </w:r>
      <w:r w:rsidR="00A467B6" w:rsidRPr="00A467B6">
        <w:rPr>
          <w:rFonts w:ascii="Times New Roman" w:hAnsi="Times New Roman"/>
          <w:color w:val="000000" w:themeColor="text1"/>
          <w:sz w:val="20"/>
          <w:szCs w:val="24"/>
        </w:rPr>
        <w:t> </w:t>
      </w:r>
      <w:r w:rsidRPr="00A467B6">
        <w:rPr>
          <w:rFonts w:ascii="Times New Roman" w:hAnsi="Times New Roman"/>
          <w:color w:val="000000" w:themeColor="text1"/>
          <w:sz w:val="20"/>
          <w:szCs w:val="24"/>
        </w:rPr>
        <w:t>r.</w:t>
      </w:r>
      <w:r>
        <w:rPr>
          <w:rFonts w:ascii="Times New Roman" w:hAnsi="Times New Roman"/>
          <w:color w:val="000000" w:themeColor="text1"/>
          <w:sz w:val="20"/>
          <w:szCs w:val="24"/>
        </w:rPr>
        <w:t xml:space="preserve"> pochodzą</w:t>
      </w:r>
      <w:r w:rsidR="00A467B6">
        <w:rPr>
          <w:rFonts w:ascii="Times New Roman" w:hAnsi="Times New Roman"/>
          <w:color w:val="000000" w:themeColor="text1"/>
          <w:sz w:val="20"/>
          <w:szCs w:val="24"/>
        </w:rPr>
        <w:t xml:space="preserve"> z pro</w:t>
      </w:r>
      <w:r>
        <w:rPr>
          <w:rFonts w:ascii="Times New Roman" w:hAnsi="Times New Roman"/>
          <w:color w:val="000000" w:themeColor="text1"/>
          <w:sz w:val="20"/>
          <w:szCs w:val="24"/>
        </w:rPr>
        <w:t>gnozy Komisji Europejskiej</w:t>
      </w:r>
      <w:r w:rsidR="00A467B6">
        <w:rPr>
          <w:rFonts w:ascii="Times New Roman" w:hAnsi="Times New Roman"/>
          <w:color w:val="000000" w:themeColor="text1"/>
          <w:sz w:val="20"/>
          <w:szCs w:val="24"/>
        </w:rPr>
        <w:t xml:space="preserve"> z jes</w:t>
      </w:r>
      <w:r>
        <w:rPr>
          <w:rFonts w:ascii="Times New Roman" w:hAnsi="Times New Roman"/>
          <w:color w:val="000000" w:themeColor="text1"/>
          <w:sz w:val="20"/>
          <w:szCs w:val="24"/>
        </w:rPr>
        <w:t>ieni 20</w:t>
      </w:r>
      <w:r w:rsidRPr="00A467B6">
        <w:rPr>
          <w:rFonts w:ascii="Times New Roman" w:hAnsi="Times New Roman"/>
          <w:color w:val="000000" w:themeColor="text1"/>
          <w:sz w:val="20"/>
          <w:szCs w:val="24"/>
        </w:rPr>
        <w:t>20</w:t>
      </w:r>
      <w:r w:rsidR="00A467B6" w:rsidRPr="00A467B6">
        <w:rPr>
          <w:rFonts w:ascii="Times New Roman" w:hAnsi="Times New Roman"/>
          <w:color w:val="000000" w:themeColor="text1"/>
          <w:sz w:val="20"/>
          <w:szCs w:val="24"/>
        </w:rPr>
        <w:t> </w:t>
      </w:r>
      <w:r w:rsidRPr="00A467B6">
        <w:rPr>
          <w:rFonts w:ascii="Times New Roman" w:hAnsi="Times New Roman"/>
          <w:color w:val="000000" w:themeColor="text1"/>
          <w:sz w:val="20"/>
          <w:szCs w:val="24"/>
        </w:rPr>
        <w:t>r.</w:t>
      </w:r>
      <w:r>
        <w:rPr>
          <w:rFonts w:ascii="Times New Roman" w:hAnsi="Times New Roman"/>
          <w:color w:val="000000" w:themeColor="text1"/>
          <w:sz w:val="20"/>
          <w:szCs w:val="24"/>
        </w:rPr>
        <w:t xml:space="preserve"> </w:t>
      </w:r>
    </w:p>
    <w:p w14:paraId="399AEE62" w14:textId="77777777" w:rsidR="009D29AB" w:rsidRPr="000C43EC" w:rsidRDefault="009D29AB" w:rsidP="009D29AB">
      <w:pPr>
        <w:spacing w:after="0"/>
        <w:jc w:val="both"/>
        <w:rPr>
          <w:rFonts w:ascii="Times New Roman" w:hAnsi="Times New Roman" w:cs="Times New Roman"/>
          <w:color w:val="000000" w:themeColor="text1"/>
          <w:sz w:val="20"/>
        </w:rPr>
      </w:pPr>
    </w:p>
    <w:p w14:paraId="07B7F614" w14:textId="39B1EC94" w:rsidR="009D29AB" w:rsidRPr="009D29AB" w:rsidRDefault="009D29AB" w:rsidP="00D61F7B">
      <w:pPr>
        <w:numPr>
          <w:ilvl w:val="1"/>
          <w:numId w:val="5"/>
        </w:numPr>
        <w:spacing w:after="80" w:line="240" w:lineRule="auto"/>
        <w:ind w:left="709" w:hanging="357"/>
        <w:jc w:val="both"/>
        <w:rPr>
          <w:rFonts w:ascii="Times New Roman" w:eastAsia="Times New Roman" w:hAnsi="Times New Roman" w:cs="Times New Roman"/>
          <w:b/>
          <w:color w:val="000000" w:themeColor="text1"/>
          <w:sz w:val="24"/>
          <w:szCs w:val="24"/>
        </w:rPr>
      </w:pPr>
      <w:r>
        <w:rPr>
          <w:rFonts w:ascii="Times New Roman" w:hAnsi="Times New Roman"/>
          <w:i/>
          <w:color w:val="000000" w:themeColor="text1"/>
          <w:sz w:val="24"/>
          <w:szCs w:val="24"/>
        </w:rPr>
        <w:t>Udział osób zatrudnionych</w:t>
      </w:r>
      <w:r w:rsidR="00A467B6">
        <w:rPr>
          <w:rFonts w:ascii="Times New Roman" w:hAnsi="Times New Roman"/>
          <w:i/>
          <w:color w:val="000000" w:themeColor="text1"/>
          <w:sz w:val="24"/>
          <w:szCs w:val="24"/>
        </w:rPr>
        <w:t xml:space="preserve"> i prz</w:t>
      </w:r>
      <w:r>
        <w:rPr>
          <w:rFonts w:ascii="Times New Roman" w:hAnsi="Times New Roman"/>
          <w:i/>
          <w:color w:val="000000" w:themeColor="text1"/>
          <w:sz w:val="24"/>
          <w:szCs w:val="24"/>
        </w:rPr>
        <w:t>edsiębiorstw objętych wsparciem</w:t>
      </w:r>
      <w:r w:rsidR="00A467B6">
        <w:rPr>
          <w:rFonts w:ascii="Times New Roman" w:hAnsi="Times New Roman"/>
          <w:i/>
          <w:color w:val="000000" w:themeColor="text1"/>
          <w:sz w:val="24"/>
          <w:szCs w:val="24"/>
        </w:rPr>
        <w:t xml:space="preserve"> w ram</w:t>
      </w:r>
      <w:r>
        <w:rPr>
          <w:rFonts w:ascii="Times New Roman" w:hAnsi="Times New Roman"/>
          <w:i/>
          <w:color w:val="000000" w:themeColor="text1"/>
          <w:sz w:val="24"/>
          <w:szCs w:val="24"/>
        </w:rPr>
        <w:t>ach SURE</w:t>
      </w:r>
    </w:p>
    <w:p w14:paraId="376813E4" w14:textId="03340122"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Szacuje się, że</w:t>
      </w:r>
      <w:r w:rsidR="00A467B6">
        <w:rPr>
          <w:rFonts w:ascii="Times New Roman" w:hAnsi="Times New Roman"/>
          <w:b/>
          <w:color w:val="000000" w:themeColor="text1"/>
          <w:sz w:val="24"/>
          <w:szCs w:val="24"/>
        </w:rPr>
        <w:t xml:space="preserve"> w 2</w:t>
      </w:r>
      <w:r>
        <w:rPr>
          <w:rFonts w:ascii="Times New Roman" w:hAnsi="Times New Roman"/>
          <w:b/>
          <w:color w:val="000000" w:themeColor="text1"/>
          <w:sz w:val="24"/>
          <w:szCs w:val="24"/>
        </w:rPr>
        <w:t>0</w:t>
      </w:r>
      <w:r w:rsidRPr="00A467B6">
        <w:rPr>
          <w:rFonts w:ascii="Times New Roman" w:hAnsi="Times New Roman"/>
          <w:b/>
          <w:color w:val="000000" w:themeColor="text1"/>
          <w:sz w:val="24"/>
          <w:szCs w:val="24"/>
        </w:rPr>
        <w:t>20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wsparciem</w:t>
      </w:r>
      <w:r w:rsidR="00A467B6">
        <w:rPr>
          <w:rFonts w:ascii="Times New Roman" w:hAnsi="Times New Roman"/>
          <w:b/>
          <w:color w:val="000000" w:themeColor="text1"/>
          <w:sz w:val="24"/>
          <w:szCs w:val="24"/>
        </w:rPr>
        <w:t xml:space="preserve"> w ram</w:t>
      </w:r>
      <w:r>
        <w:rPr>
          <w:rFonts w:ascii="Times New Roman" w:hAnsi="Times New Roman"/>
          <w:b/>
          <w:color w:val="000000" w:themeColor="text1"/>
          <w:sz w:val="24"/>
          <w:szCs w:val="24"/>
        </w:rPr>
        <w:t>ach SURE zostało objętych 25–30 mln osób, co odpowiada jednej czwartej całkowitego zatrudnienia</w:t>
      </w:r>
      <w:r w:rsidR="00A467B6">
        <w:rPr>
          <w:rFonts w:ascii="Times New Roman" w:hAnsi="Times New Roman"/>
          <w:b/>
          <w:color w:val="000000" w:themeColor="text1"/>
          <w:sz w:val="24"/>
          <w:szCs w:val="24"/>
        </w:rPr>
        <w:t xml:space="preserve"> w pań</w:t>
      </w:r>
      <w:r>
        <w:rPr>
          <w:rFonts w:ascii="Times New Roman" w:hAnsi="Times New Roman"/>
          <w:b/>
          <w:color w:val="000000" w:themeColor="text1"/>
          <w:sz w:val="24"/>
          <w:szCs w:val="24"/>
        </w:rPr>
        <w:t>stwach członkowskich korzystających</w:t>
      </w:r>
      <w:r w:rsidR="00A467B6">
        <w:rPr>
          <w:rFonts w:ascii="Times New Roman" w:hAnsi="Times New Roman"/>
          <w:b/>
          <w:color w:val="000000" w:themeColor="text1"/>
          <w:sz w:val="24"/>
          <w:szCs w:val="24"/>
        </w:rPr>
        <w:t xml:space="preserve"> z pom</w:t>
      </w:r>
      <w:r>
        <w:rPr>
          <w:rFonts w:ascii="Times New Roman" w:hAnsi="Times New Roman"/>
          <w:b/>
          <w:color w:val="000000" w:themeColor="text1"/>
          <w:sz w:val="24"/>
          <w:szCs w:val="24"/>
        </w:rPr>
        <w:t>ocy</w:t>
      </w:r>
      <w:r>
        <w:rPr>
          <w:rFonts w:ascii="Times New Roman" w:hAnsi="Times New Roman" w:cs="Times New Roman"/>
          <w:color w:val="000000" w:themeColor="text1"/>
          <w:sz w:val="24"/>
          <w:vertAlign w:val="superscript"/>
          <w:lang w:val="en-US"/>
        </w:rPr>
        <w:footnoteReference w:id="24"/>
      </w:r>
      <w:r w:rsidRPr="00A467B6">
        <w:rPr>
          <w:rFonts w:ascii="Times New Roman" w:hAnsi="Times New Roman"/>
          <w:b/>
          <w:color w:val="000000" w:themeColor="text1"/>
          <w:sz w:val="24"/>
          <w:szCs w:val="24"/>
        </w:rPr>
        <w:t>.</w:t>
      </w:r>
      <w:r w:rsidR="00A467B6" w:rsidRPr="00A467B6">
        <w:rPr>
          <w:rFonts w:ascii="Times New Roman" w:hAnsi="Times New Roman"/>
          <w:color w:val="000000" w:themeColor="text1"/>
          <w:sz w:val="24"/>
          <w:szCs w:val="24"/>
        </w:rPr>
        <w:t xml:space="preserve"> </w:t>
      </w:r>
      <w:r w:rsidRPr="00A467B6">
        <w:rPr>
          <w:rFonts w:ascii="Times New Roman" w:hAnsi="Times New Roman"/>
          <w:color w:val="000000" w:themeColor="text1"/>
          <w:sz w:val="24"/>
          <w:szCs w:val="24"/>
        </w:rPr>
        <w:t>S</w:t>
      </w:r>
      <w:r>
        <w:rPr>
          <w:rFonts w:ascii="Times New Roman" w:hAnsi="Times New Roman"/>
          <w:color w:val="000000" w:themeColor="text1"/>
          <w:sz w:val="24"/>
          <w:szCs w:val="24"/>
        </w:rPr>
        <w:t>tanowi to również około dwie trzecie liczby pracowników objętych mechanizmami zmniejszonego wymiaru czasu pracy w UE</w:t>
      </w:r>
      <w:r>
        <w:rPr>
          <w:rFonts w:ascii="Times New Roman" w:hAnsi="Times New Roman" w:cs="Times New Roman"/>
          <w:color w:val="000000" w:themeColor="text1"/>
          <w:sz w:val="24"/>
          <w:szCs w:val="24"/>
          <w:vertAlign w:val="superscript"/>
          <w:lang w:val="en-US"/>
        </w:rPr>
        <w:footnoteReference w:id="25"/>
      </w:r>
      <w:r>
        <w:rPr>
          <w:rFonts w:ascii="Times New Roman" w:hAnsi="Times New Roman"/>
          <w:color w:val="000000" w:themeColor="text1"/>
          <w:sz w:val="24"/>
          <w:szCs w:val="24"/>
        </w:rPr>
        <w:t>. Centralna szacunkowa liczba 26½ mln obejmuje około 21½ mln pracowników</w:t>
      </w:r>
      <w:r w:rsidR="00A467B6">
        <w:rPr>
          <w:rFonts w:ascii="Times New Roman" w:hAnsi="Times New Roman"/>
          <w:color w:val="000000" w:themeColor="text1"/>
          <w:sz w:val="24"/>
          <w:szCs w:val="24"/>
        </w:rPr>
        <w:t xml:space="preserve"> i 5</w:t>
      </w:r>
      <w:r>
        <w:rPr>
          <w:rFonts w:ascii="Times New Roman" w:hAnsi="Times New Roman"/>
          <w:color w:val="000000" w:themeColor="text1"/>
          <w:sz w:val="24"/>
          <w:szCs w:val="24"/>
        </w:rPr>
        <w:t xml:space="preserve"> mln osób samozatrudnionych.</w:t>
      </w:r>
      <w:r>
        <w:rPr>
          <w:rFonts w:ascii="Times New Roman" w:hAnsi="Times New Roman" w:cs="Times New Roman"/>
          <w:sz w:val="24"/>
          <w:szCs w:val="24"/>
          <w:vertAlign w:val="superscript"/>
        </w:rPr>
        <w:footnoteReference w:id="26"/>
      </w:r>
      <w:r w:rsidRPr="00A467B6">
        <w:rPr>
          <w:rFonts w:ascii="Times New Roman" w:hAnsi="Times New Roman"/>
          <w:sz w:val="24"/>
          <w:szCs w:val="24"/>
        </w:rPr>
        <w:t>.</w:t>
      </w:r>
      <w:r w:rsidR="00A467B6" w:rsidRPr="00A467B6">
        <w:rPr>
          <w:rFonts w:ascii="Times New Roman" w:hAnsi="Times New Roman"/>
          <w:sz w:val="24"/>
          <w:szCs w:val="24"/>
        </w:rPr>
        <w:t xml:space="preserve"> </w:t>
      </w:r>
      <w:r w:rsidRPr="00A467B6">
        <w:rPr>
          <w:rFonts w:ascii="Times New Roman" w:hAnsi="Times New Roman"/>
          <w:sz w:val="24"/>
          <w:szCs w:val="24"/>
        </w:rPr>
        <w:t>W</w:t>
      </w:r>
      <w:r>
        <w:rPr>
          <w:rFonts w:ascii="Times New Roman" w:hAnsi="Times New Roman"/>
          <w:sz w:val="24"/>
          <w:szCs w:val="24"/>
        </w:rPr>
        <w:t>ykres 7 przedstawia podział według państw członkowskich, przy czym</w:t>
      </w:r>
      <w:r w:rsidR="00A467B6">
        <w:rPr>
          <w:rFonts w:ascii="Times New Roman" w:hAnsi="Times New Roman"/>
          <w:sz w:val="24"/>
          <w:szCs w:val="24"/>
        </w:rPr>
        <w:t xml:space="preserve"> w pos</w:t>
      </w:r>
      <w:r>
        <w:rPr>
          <w:rFonts w:ascii="Times New Roman" w:hAnsi="Times New Roman"/>
          <w:sz w:val="24"/>
          <w:szCs w:val="24"/>
        </w:rPr>
        <w:t>zczególnych państwach wsparciem</w:t>
      </w:r>
      <w:r w:rsidR="00A467B6">
        <w:rPr>
          <w:rFonts w:ascii="Times New Roman" w:hAnsi="Times New Roman"/>
          <w:sz w:val="24"/>
          <w:szCs w:val="24"/>
        </w:rPr>
        <w:t xml:space="preserve"> w ram</w:t>
      </w:r>
      <w:r>
        <w:rPr>
          <w:rFonts w:ascii="Times New Roman" w:hAnsi="Times New Roman"/>
          <w:sz w:val="24"/>
          <w:szCs w:val="24"/>
        </w:rPr>
        <w:t xml:space="preserve">ach SURE objęto </w:t>
      </w:r>
      <w:r w:rsidRPr="00A467B6">
        <w:rPr>
          <w:rFonts w:ascii="Times New Roman" w:hAnsi="Times New Roman"/>
          <w:sz w:val="24"/>
          <w:szCs w:val="24"/>
        </w:rPr>
        <w:t>od</w:t>
      </w:r>
      <w:r w:rsidR="00A467B6" w:rsidRPr="00A467B6">
        <w:rPr>
          <w:rFonts w:ascii="Times New Roman" w:hAnsi="Times New Roman"/>
          <w:sz w:val="24"/>
          <w:szCs w:val="24"/>
        </w:rPr>
        <w:t> </w:t>
      </w:r>
      <w:r w:rsidRPr="00A467B6">
        <w:rPr>
          <w:rFonts w:ascii="Times New Roman" w:hAnsi="Times New Roman"/>
          <w:sz w:val="24"/>
          <w:szCs w:val="24"/>
        </w:rPr>
        <w:t>7</w:t>
      </w:r>
      <w:r w:rsidR="00A467B6" w:rsidRPr="00A467B6">
        <w:rPr>
          <w:rFonts w:ascii="Times New Roman" w:hAnsi="Times New Roman"/>
          <w:sz w:val="24"/>
          <w:szCs w:val="24"/>
        </w:rPr>
        <w:t> </w:t>
      </w:r>
      <w:r w:rsidRPr="00A467B6">
        <w:rPr>
          <w:rFonts w:ascii="Times New Roman" w:hAnsi="Times New Roman"/>
          <w:sz w:val="24"/>
          <w:szCs w:val="24"/>
        </w:rPr>
        <w:t>%</w:t>
      </w:r>
      <w:r>
        <w:rPr>
          <w:rFonts w:ascii="Times New Roman" w:hAnsi="Times New Roman"/>
          <w:sz w:val="24"/>
          <w:szCs w:val="24"/>
        </w:rPr>
        <w:t xml:space="preserve"> do blisko 7</w:t>
      </w:r>
      <w:r w:rsidRPr="00A467B6">
        <w:rPr>
          <w:rFonts w:ascii="Times New Roman" w:hAnsi="Times New Roman"/>
          <w:sz w:val="24"/>
          <w:szCs w:val="24"/>
        </w:rPr>
        <w:t>0</w:t>
      </w:r>
      <w:r w:rsidR="00A467B6" w:rsidRPr="00A467B6">
        <w:rPr>
          <w:rFonts w:ascii="Times New Roman" w:hAnsi="Times New Roman"/>
          <w:sz w:val="24"/>
          <w:szCs w:val="24"/>
        </w:rPr>
        <w:t> </w:t>
      </w:r>
      <w:r w:rsidRPr="00A467B6">
        <w:rPr>
          <w:rFonts w:ascii="Times New Roman" w:hAnsi="Times New Roman"/>
          <w:sz w:val="24"/>
          <w:szCs w:val="24"/>
        </w:rPr>
        <w:t>%</w:t>
      </w:r>
      <w:r>
        <w:rPr>
          <w:rFonts w:ascii="Times New Roman" w:hAnsi="Times New Roman"/>
          <w:sz w:val="24"/>
          <w:szCs w:val="24"/>
        </w:rPr>
        <w:t xml:space="preserve"> zatrudnienia ogółem</w:t>
      </w:r>
      <w:r w:rsidRPr="00A467B6">
        <w:rPr>
          <w:rFonts w:ascii="Times New Roman" w:hAnsi="Times New Roman"/>
          <w:sz w:val="24"/>
          <w:szCs w:val="24"/>
        </w:rPr>
        <w:t>.</w:t>
      </w:r>
      <w:r w:rsidR="00A467B6" w:rsidRPr="00A467B6">
        <w:rPr>
          <w:rFonts w:ascii="Times New Roman" w:hAnsi="Times New Roman"/>
          <w:sz w:val="24"/>
          <w:szCs w:val="24"/>
        </w:rPr>
        <w:t xml:space="preserve"> </w:t>
      </w:r>
      <w:r w:rsidRPr="00A467B6">
        <w:rPr>
          <w:rFonts w:ascii="Times New Roman" w:hAnsi="Times New Roman"/>
          <w:sz w:val="24"/>
          <w:szCs w:val="24"/>
        </w:rPr>
        <w:t>T</w:t>
      </w:r>
      <w:r>
        <w:rPr>
          <w:rFonts w:ascii="Times New Roman" w:hAnsi="Times New Roman"/>
          <w:sz w:val="24"/>
          <w:szCs w:val="24"/>
        </w:rPr>
        <w:t>rudno jest oszacować liczbę osób objętych środkami ochrony zdrowia</w:t>
      </w:r>
      <w:r w:rsidR="00A467B6">
        <w:rPr>
          <w:rFonts w:ascii="Times New Roman" w:hAnsi="Times New Roman"/>
          <w:sz w:val="24"/>
          <w:szCs w:val="24"/>
        </w:rPr>
        <w:t xml:space="preserve"> z wys</w:t>
      </w:r>
      <w:r>
        <w:rPr>
          <w:rFonts w:ascii="Times New Roman" w:hAnsi="Times New Roman"/>
          <w:sz w:val="24"/>
          <w:szCs w:val="24"/>
        </w:rPr>
        <w:t>tarczającą dokładnością ze względu na różnorodność środków przyjętych</w:t>
      </w:r>
      <w:r w:rsidR="00A467B6">
        <w:rPr>
          <w:rFonts w:ascii="Times New Roman" w:hAnsi="Times New Roman"/>
          <w:sz w:val="24"/>
          <w:szCs w:val="24"/>
        </w:rPr>
        <w:t xml:space="preserve"> w pos</w:t>
      </w:r>
      <w:r>
        <w:rPr>
          <w:rFonts w:ascii="Times New Roman" w:hAnsi="Times New Roman"/>
          <w:sz w:val="24"/>
          <w:szCs w:val="24"/>
        </w:rPr>
        <w:t>zczególnych państwach członkowskich. Należy zatem przyjąć zachowawcze podejście do analizy tych szacunków, mając na uwadze, że wsparcie</w:t>
      </w:r>
      <w:r w:rsidR="00A467B6">
        <w:rPr>
          <w:rFonts w:ascii="Times New Roman" w:hAnsi="Times New Roman"/>
          <w:sz w:val="24"/>
          <w:szCs w:val="24"/>
        </w:rPr>
        <w:t xml:space="preserve"> w ram</w:t>
      </w:r>
      <w:r>
        <w:rPr>
          <w:rFonts w:ascii="Times New Roman" w:hAnsi="Times New Roman"/>
          <w:sz w:val="24"/>
          <w:szCs w:val="24"/>
        </w:rPr>
        <w:t>ach SURE wykracza poza instrumenty rynku pracy,</w:t>
      </w:r>
      <w:r w:rsidR="00A467B6">
        <w:rPr>
          <w:rFonts w:ascii="Times New Roman" w:hAnsi="Times New Roman"/>
          <w:sz w:val="24"/>
          <w:szCs w:val="24"/>
        </w:rPr>
        <w:t xml:space="preserve"> a zat</w:t>
      </w:r>
      <w:r>
        <w:rPr>
          <w:rFonts w:ascii="Times New Roman" w:hAnsi="Times New Roman"/>
          <w:sz w:val="24"/>
          <w:szCs w:val="24"/>
        </w:rPr>
        <w:t xml:space="preserve">em przynosi korzyści szerszemu gronu osób. </w:t>
      </w:r>
    </w:p>
    <w:p w14:paraId="2ECFD544" w14:textId="342BEDD2" w:rsidR="009D29AB" w:rsidRPr="009D29AB" w:rsidRDefault="009D29AB" w:rsidP="009D29AB">
      <w:pPr>
        <w:rPr>
          <w:rFonts w:ascii="Times New Roman" w:hAnsi="Times New Roman" w:cs="Times New Roman"/>
          <w:b/>
          <w:sz w:val="24"/>
        </w:rPr>
      </w:pPr>
      <w:r>
        <w:rPr>
          <w:rFonts w:ascii="Times New Roman" w:hAnsi="Times New Roman"/>
          <w:b/>
          <w:sz w:val="24"/>
          <w:szCs w:val="24"/>
        </w:rPr>
        <w:t>Wykres 7: Liczba pracowników objętych SURE (% wszystkich pracowników</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r>
        <w:rPr>
          <w:rFonts w:ascii="Times New Roman" w:hAnsi="Times New Roman"/>
          <w:b/>
          <w:sz w:val="24"/>
          <w:szCs w:val="24"/>
        </w:rPr>
        <w:t>)</w:t>
      </w:r>
    </w:p>
    <w:p w14:paraId="76355775" w14:textId="75210A5A" w:rsidR="009D29AB" w:rsidRPr="009D29AB" w:rsidRDefault="009D29AB" w:rsidP="009D29AB">
      <w:pPr>
        <w:spacing w:before="120" w:after="120"/>
        <w:jc w:val="center"/>
        <w:rPr>
          <w:rFonts w:ascii="Times New Roman" w:hAnsi="Times New Roman" w:cs="Times New Roman"/>
          <w:b/>
          <w:sz w:val="24"/>
        </w:rPr>
      </w:pPr>
      <w:r>
        <w:rPr>
          <w:rFonts w:ascii="Times New Roman" w:hAnsi="Times New Roman"/>
        </w:rPr>
        <w:t xml:space="preserve"> </w:t>
      </w:r>
      <w:r w:rsidR="000B55BD" w:rsidRPr="000B55BD">
        <w:rPr>
          <w:noProof/>
          <w:lang w:val="en-US"/>
        </w:rPr>
        <w:drawing>
          <wp:inline distT="0" distB="0" distL="0" distR="0" wp14:anchorId="24326781" wp14:editId="18C91582">
            <wp:extent cx="2997835" cy="23056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97835" cy="2305685"/>
                    </a:xfrm>
                    <a:prstGeom prst="rect">
                      <a:avLst/>
                    </a:prstGeom>
                    <a:noFill/>
                    <a:ln>
                      <a:noFill/>
                    </a:ln>
                  </pic:spPr>
                </pic:pic>
              </a:graphicData>
            </a:graphic>
          </wp:inline>
        </w:drawing>
      </w:r>
      <w:r>
        <w:rPr>
          <w:rFonts w:ascii="Times New Roman" w:hAnsi="Times New Roman"/>
        </w:rPr>
        <w:t xml:space="preserve"> </w:t>
      </w:r>
    </w:p>
    <w:p w14:paraId="776927D3" w14:textId="0A670ED7" w:rsidR="009D29AB" w:rsidRPr="009D29AB" w:rsidRDefault="009D29AB" w:rsidP="009D29AB">
      <w:pPr>
        <w:spacing w:before="120" w:after="120"/>
        <w:jc w:val="both"/>
        <w:rPr>
          <w:rFonts w:ascii="Times New Roman" w:hAnsi="Times New Roman" w:cs="Times New Roman"/>
          <w:color w:val="000000" w:themeColor="text1"/>
          <w:szCs w:val="24"/>
        </w:rPr>
      </w:pPr>
      <w:r>
        <w:rPr>
          <w:rFonts w:ascii="Times New Roman" w:hAnsi="Times New Roman"/>
          <w:sz w:val="20"/>
        </w:rPr>
        <w:t>Uwaga: dane dotyczące zakresu wsparcia zaczerpnięto ze sprawozdań państw członkowskich. Dane dotyczące Czech opierają się na wstępnym sprawozdaniu</w:t>
      </w:r>
      <w:r w:rsidR="00A467B6">
        <w:rPr>
          <w:rFonts w:ascii="Times New Roman" w:hAnsi="Times New Roman"/>
          <w:sz w:val="20"/>
        </w:rPr>
        <w:t xml:space="preserve"> z sie</w:t>
      </w:r>
      <w:r>
        <w:rPr>
          <w:rFonts w:ascii="Times New Roman" w:hAnsi="Times New Roman"/>
          <w:sz w:val="20"/>
        </w:rPr>
        <w:t>rpnia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r>
        <w:rPr>
          <w:rFonts w:ascii="Times New Roman" w:hAnsi="Times New Roman"/>
          <w:sz w:val="20"/>
        </w:rPr>
        <w:t>,</w:t>
      </w:r>
      <w:r w:rsidR="00A467B6">
        <w:rPr>
          <w:rFonts w:ascii="Times New Roman" w:hAnsi="Times New Roman"/>
          <w:sz w:val="20"/>
        </w:rPr>
        <w:t xml:space="preserve"> w zwi</w:t>
      </w:r>
      <w:r>
        <w:rPr>
          <w:rFonts w:ascii="Times New Roman" w:hAnsi="Times New Roman"/>
          <w:sz w:val="20"/>
        </w:rPr>
        <w:t>ązku</w:t>
      </w:r>
      <w:r w:rsidR="00A467B6">
        <w:rPr>
          <w:rFonts w:ascii="Times New Roman" w:hAnsi="Times New Roman"/>
          <w:sz w:val="20"/>
        </w:rPr>
        <w:t xml:space="preserve"> z czy</w:t>
      </w:r>
      <w:r>
        <w:rPr>
          <w:rFonts w:ascii="Times New Roman" w:hAnsi="Times New Roman"/>
          <w:sz w:val="20"/>
        </w:rPr>
        <w:t>m na potrzeby zagregowanej wartości dotyczącej objęcia wsparciem założono, że zakres wsparcia zatrudnienia był podobny jak</w:t>
      </w:r>
      <w:r w:rsidR="00A467B6">
        <w:rPr>
          <w:rFonts w:ascii="Times New Roman" w:hAnsi="Times New Roman"/>
          <w:sz w:val="20"/>
        </w:rPr>
        <w:t xml:space="preserve"> w poz</w:t>
      </w:r>
      <w:r>
        <w:rPr>
          <w:rFonts w:ascii="Times New Roman" w:hAnsi="Times New Roman"/>
          <w:sz w:val="20"/>
        </w:rPr>
        <w:t>ostałych państwach członkowskich. Łączne dane dotyczące zatrudnienia pochodzą z AMECO</w:t>
      </w:r>
      <w:r w:rsidR="00A467B6">
        <w:rPr>
          <w:rFonts w:ascii="Times New Roman" w:hAnsi="Times New Roman"/>
          <w:sz w:val="20"/>
        </w:rPr>
        <w:t xml:space="preserve"> i wyk</w:t>
      </w:r>
      <w:r>
        <w:rPr>
          <w:rFonts w:ascii="Times New Roman" w:hAnsi="Times New Roman"/>
          <w:sz w:val="20"/>
        </w:rPr>
        <w:t>orzystuje się</w:t>
      </w:r>
      <w:r w:rsidR="00A467B6">
        <w:rPr>
          <w:rFonts w:ascii="Times New Roman" w:hAnsi="Times New Roman"/>
          <w:sz w:val="20"/>
        </w:rPr>
        <w:t xml:space="preserve"> w nic</w:t>
      </w:r>
      <w:r>
        <w:rPr>
          <w:rFonts w:ascii="Times New Roman" w:hAnsi="Times New Roman"/>
          <w:sz w:val="20"/>
        </w:rPr>
        <w:t>h definicję całkowitego zatrudnienia według rachunków narodowych, która obejmuje zarówno pracowników otrzymujących wynagrodzenie, jak</w:t>
      </w:r>
      <w:r w:rsidR="00A467B6">
        <w:rPr>
          <w:rFonts w:ascii="Times New Roman" w:hAnsi="Times New Roman"/>
          <w:sz w:val="20"/>
        </w:rPr>
        <w:t xml:space="preserve"> i oso</w:t>
      </w:r>
      <w:r>
        <w:rPr>
          <w:rFonts w:ascii="Times New Roman" w:hAnsi="Times New Roman"/>
          <w:sz w:val="20"/>
        </w:rPr>
        <w:t xml:space="preserve">by samozatrudnione. </w:t>
      </w:r>
    </w:p>
    <w:p w14:paraId="1829C177" w14:textId="77777777" w:rsidR="009D29AB" w:rsidRPr="000C43EC" w:rsidRDefault="009D29AB" w:rsidP="009D29AB">
      <w:pPr>
        <w:spacing w:before="120" w:after="120"/>
        <w:jc w:val="both"/>
        <w:rPr>
          <w:rFonts w:ascii="Times New Roman" w:hAnsi="Times New Roman" w:cs="Times New Roman"/>
          <w:b/>
          <w:sz w:val="24"/>
          <w:szCs w:val="24"/>
        </w:rPr>
      </w:pPr>
    </w:p>
    <w:p w14:paraId="14EFB6CB" w14:textId="01833674" w:rsidR="009D29AB" w:rsidRPr="009D29AB" w:rsidRDefault="002F4B4C" w:rsidP="009D29AB">
      <w:pPr>
        <w:spacing w:before="120" w:after="120"/>
        <w:jc w:val="both"/>
        <w:rPr>
          <w:rFonts w:ascii="Times New Roman" w:hAnsi="Times New Roman" w:cs="Times New Roman"/>
          <w:color w:val="000000" w:themeColor="text1"/>
        </w:rPr>
      </w:pPr>
      <w:r>
        <w:rPr>
          <w:rFonts w:ascii="Times New Roman" w:hAnsi="Times New Roman"/>
          <w:b/>
          <w:sz w:val="24"/>
          <w:szCs w:val="24"/>
        </w:rPr>
        <w:t>Szacunki Komisji opierające się na sprawozdaniach państw członkowskich wskazują, że</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r>
        <w:rPr>
          <w:rFonts w:ascii="Times New Roman" w:hAnsi="Times New Roman"/>
          <w:b/>
          <w:sz w:val="24"/>
          <w:szCs w:val="24"/>
        </w:rPr>
        <w:t xml:space="preserve"> wsparcie</w:t>
      </w:r>
      <w:r w:rsidR="00A467B6">
        <w:rPr>
          <w:rFonts w:ascii="Times New Roman" w:hAnsi="Times New Roman"/>
          <w:b/>
          <w:sz w:val="24"/>
          <w:szCs w:val="24"/>
        </w:rPr>
        <w:t xml:space="preserve"> w ram</w:t>
      </w:r>
      <w:r>
        <w:rPr>
          <w:rFonts w:ascii="Times New Roman" w:hAnsi="Times New Roman"/>
          <w:b/>
          <w:sz w:val="24"/>
          <w:szCs w:val="24"/>
        </w:rPr>
        <w:t xml:space="preserve">ach SURE otrzymało we wszystkich państwach członkowskich </w:t>
      </w:r>
      <w:r w:rsidRPr="00A467B6">
        <w:rPr>
          <w:rFonts w:ascii="Times New Roman" w:hAnsi="Times New Roman"/>
          <w:b/>
          <w:sz w:val="24"/>
          <w:szCs w:val="24"/>
        </w:rPr>
        <w:t>od</w:t>
      </w:r>
      <w:r w:rsidR="00A467B6" w:rsidRPr="00A467B6">
        <w:rPr>
          <w:rFonts w:ascii="Times New Roman" w:hAnsi="Times New Roman"/>
          <w:b/>
          <w:sz w:val="24"/>
          <w:szCs w:val="24"/>
        </w:rPr>
        <w:t> </w:t>
      </w:r>
      <w:r w:rsidRPr="00A467B6">
        <w:rPr>
          <w:rFonts w:ascii="Times New Roman" w:hAnsi="Times New Roman"/>
          <w:b/>
          <w:sz w:val="24"/>
          <w:szCs w:val="24"/>
        </w:rPr>
        <w:t>1</w:t>
      </w:r>
      <w:r>
        <w:rPr>
          <w:rFonts w:ascii="Times New Roman" w:hAnsi="Times New Roman"/>
          <w:b/>
          <w:sz w:val="24"/>
          <w:szCs w:val="24"/>
        </w:rPr>
        <w:t xml:space="preserve">½ mln </w:t>
      </w:r>
      <w:r w:rsidRPr="00A467B6">
        <w:rPr>
          <w:rFonts w:ascii="Times New Roman" w:hAnsi="Times New Roman"/>
          <w:b/>
          <w:sz w:val="24"/>
          <w:szCs w:val="24"/>
        </w:rPr>
        <w:t>do</w:t>
      </w:r>
      <w:r w:rsidR="00A467B6" w:rsidRPr="00A467B6">
        <w:rPr>
          <w:rFonts w:ascii="Times New Roman" w:hAnsi="Times New Roman"/>
          <w:b/>
          <w:sz w:val="24"/>
          <w:szCs w:val="24"/>
        </w:rPr>
        <w:t> </w:t>
      </w:r>
      <w:r w:rsidRPr="00A467B6">
        <w:rPr>
          <w:rFonts w:ascii="Times New Roman" w:hAnsi="Times New Roman"/>
          <w:b/>
          <w:sz w:val="24"/>
          <w:szCs w:val="24"/>
        </w:rPr>
        <w:t>2</w:t>
      </w:r>
      <w:r>
        <w:rPr>
          <w:rFonts w:ascii="Times New Roman" w:hAnsi="Times New Roman"/>
          <w:b/>
          <w:sz w:val="24"/>
          <w:szCs w:val="24"/>
        </w:rPr>
        <w:t>½ mln przedsiębiorstw.</w:t>
      </w:r>
      <w:r>
        <w:rPr>
          <w:rFonts w:ascii="Times New Roman" w:hAnsi="Times New Roman"/>
          <w:sz w:val="24"/>
        </w:rPr>
        <w:t xml:space="preserve"> </w:t>
      </w:r>
      <w:r>
        <w:rPr>
          <w:rFonts w:ascii="Times New Roman" w:hAnsi="Times New Roman"/>
          <w:sz w:val="24"/>
          <w:szCs w:val="24"/>
        </w:rPr>
        <w:t>Tylko 14 państw członkowskich przekazało zaktualizowane dane na temat objęcia wsparciem przedsiębiorstw</w:t>
      </w:r>
      <w:r>
        <w:rPr>
          <w:rFonts w:ascii="Times New Roman" w:hAnsi="Times New Roman" w:cs="Times New Roman"/>
          <w:sz w:val="24"/>
          <w:szCs w:val="24"/>
          <w:vertAlign w:val="superscript"/>
        </w:rPr>
        <w:footnoteReference w:id="27"/>
      </w:r>
      <w:r>
        <w:rPr>
          <w:rFonts w:ascii="Times New Roman" w:hAnsi="Times New Roman"/>
          <w:sz w:val="24"/>
          <w:szCs w:val="24"/>
        </w:rPr>
        <w:t>. Jeżeli chodzi</w:t>
      </w:r>
      <w:r w:rsidR="00A467B6">
        <w:rPr>
          <w:rFonts w:ascii="Times New Roman" w:hAnsi="Times New Roman"/>
          <w:sz w:val="24"/>
          <w:szCs w:val="24"/>
        </w:rPr>
        <w:t xml:space="preserve"> o pań</w:t>
      </w:r>
      <w:r>
        <w:rPr>
          <w:rFonts w:ascii="Times New Roman" w:hAnsi="Times New Roman"/>
          <w:sz w:val="24"/>
          <w:szCs w:val="24"/>
        </w:rPr>
        <w:t>stwa członkowskie, które przekazały sprawozdania, wsparcie</w:t>
      </w:r>
      <w:r w:rsidR="00A467B6">
        <w:rPr>
          <w:rFonts w:ascii="Times New Roman" w:hAnsi="Times New Roman"/>
          <w:sz w:val="24"/>
          <w:szCs w:val="24"/>
        </w:rPr>
        <w:t xml:space="preserve"> w ram</w:t>
      </w:r>
      <w:r>
        <w:rPr>
          <w:rFonts w:ascii="Times New Roman" w:hAnsi="Times New Roman"/>
          <w:sz w:val="24"/>
          <w:szCs w:val="24"/>
        </w:rPr>
        <w:t>ach SURE otrzymało prawie 800 000 przedsiębiorstw. Liczba ta stanowi 1</w:t>
      </w:r>
      <w:r w:rsidRPr="00A467B6">
        <w:rPr>
          <w:rFonts w:ascii="Times New Roman" w:hAnsi="Times New Roman"/>
          <w:sz w:val="24"/>
          <w:szCs w:val="24"/>
        </w:rPr>
        <w:t>2</w:t>
      </w:r>
      <w:r w:rsidR="00A467B6" w:rsidRPr="00A467B6">
        <w:rPr>
          <w:rFonts w:ascii="Times New Roman" w:hAnsi="Times New Roman"/>
          <w:sz w:val="24"/>
          <w:szCs w:val="24"/>
        </w:rPr>
        <w:t> </w:t>
      </w:r>
      <w:r w:rsidRPr="00A467B6">
        <w:rPr>
          <w:rFonts w:ascii="Times New Roman" w:hAnsi="Times New Roman"/>
          <w:sz w:val="24"/>
          <w:szCs w:val="24"/>
        </w:rPr>
        <w:t>%</w:t>
      </w:r>
      <w:r>
        <w:rPr>
          <w:rFonts w:ascii="Times New Roman" w:hAnsi="Times New Roman"/>
          <w:sz w:val="24"/>
          <w:szCs w:val="24"/>
        </w:rPr>
        <w:t xml:space="preserve"> łącznej liczby przedsiębiorstw</w:t>
      </w:r>
      <w:r w:rsidR="00A467B6">
        <w:rPr>
          <w:rFonts w:ascii="Times New Roman" w:hAnsi="Times New Roman"/>
          <w:sz w:val="24"/>
          <w:szCs w:val="24"/>
        </w:rPr>
        <w:t xml:space="preserve"> w tyc</w:t>
      </w:r>
      <w:r>
        <w:rPr>
          <w:rFonts w:ascii="Times New Roman" w:hAnsi="Times New Roman"/>
          <w:sz w:val="24"/>
          <w:szCs w:val="24"/>
        </w:rPr>
        <w:t>h państwach członkowskich. Biorąc pod uwagę, że niektóre większe państwa członkowskie korzystające</w:t>
      </w:r>
      <w:r w:rsidR="00A467B6">
        <w:rPr>
          <w:rFonts w:ascii="Times New Roman" w:hAnsi="Times New Roman"/>
          <w:sz w:val="24"/>
          <w:szCs w:val="24"/>
        </w:rPr>
        <w:t xml:space="preserve"> z pom</w:t>
      </w:r>
      <w:r>
        <w:rPr>
          <w:rFonts w:ascii="Times New Roman" w:hAnsi="Times New Roman"/>
          <w:sz w:val="24"/>
          <w:szCs w:val="24"/>
        </w:rPr>
        <w:t>ocy nie przekazały wymaganych danych, wartość ta jest niepełna</w:t>
      </w:r>
      <w:r w:rsidR="00A467B6">
        <w:rPr>
          <w:rFonts w:ascii="Times New Roman" w:hAnsi="Times New Roman"/>
          <w:sz w:val="24"/>
          <w:szCs w:val="24"/>
        </w:rPr>
        <w:t xml:space="preserve"> i zna</w:t>
      </w:r>
      <w:r>
        <w:rPr>
          <w:rFonts w:ascii="Times New Roman" w:hAnsi="Times New Roman"/>
          <w:sz w:val="24"/>
          <w:szCs w:val="24"/>
        </w:rPr>
        <w:t>cznie niższa od faktycznej łącznej liczby przedsiębiorstw objętych wsparciem. Na podstawie racjonalnych założeń szacuje się, że liczba</w:t>
      </w:r>
      <w:r>
        <w:rPr>
          <w:rFonts w:ascii="Times New Roman" w:hAnsi="Times New Roman"/>
          <w:sz w:val="24"/>
        </w:rPr>
        <w:t xml:space="preserve"> przedsiębiorstw </w:t>
      </w:r>
      <w:r>
        <w:rPr>
          <w:rFonts w:ascii="Times New Roman" w:hAnsi="Times New Roman"/>
          <w:sz w:val="24"/>
          <w:szCs w:val="24"/>
        </w:rPr>
        <w:t xml:space="preserve">objętych wsparciem znacznie wzrośnie, </w:t>
      </w:r>
      <w:r w:rsidRPr="00A467B6">
        <w:rPr>
          <w:rFonts w:ascii="Times New Roman" w:hAnsi="Times New Roman"/>
          <w:sz w:val="24"/>
          <w:szCs w:val="24"/>
        </w:rPr>
        <w:t>do</w:t>
      </w:r>
      <w:r w:rsidR="00A467B6" w:rsidRPr="00A467B6">
        <w:rPr>
          <w:rFonts w:ascii="Times New Roman" w:hAnsi="Times New Roman"/>
          <w:sz w:val="24"/>
          <w:szCs w:val="24"/>
        </w:rPr>
        <w:t> </w:t>
      </w:r>
      <w:r w:rsidRPr="00A467B6">
        <w:rPr>
          <w:rFonts w:ascii="Times New Roman" w:hAnsi="Times New Roman"/>
          <w:sz w:val="24"/>
          <w:szCs w:val="24"/>
        </w:rPr>
        <w:t>1</w:t>
      </w:r>
      <w:r>
        <w:rPr>
          <w:rFonts w:ascii="Times New Roman" w:hAnsi="Times New Roman"/>
          <w:sz w:val="24"/>
          <w:szCs w:val="24"/>
        </w:rPr>
        <w:t>½ mln–2½ mln przedsiębiorstw, jeżeli uwzględni się pozostałe cztery państwa członkowskie</w:t>
      </w:r>
      <w:r>
        <w:rPr>
          <w:rFonts w:ascii="Times New Roman" w:hAnsi="Times New Roman" w:cs="Times New Roman"/>
          <w:sz w:val="24"/>
          <w:szCs w:val="24"/>
          <w:vertAlign w:val="superscript"/>
        </w:rPr>
        <w:footnoteReference w:id="28"/>
      </w:r>
      <w:r>
        <w:rPr>
          <w:rFonts w:ascii="Times New Roman" w:hAnsi="Times New Roman"/>
          <w:sz w:val="24"/>
          <w:szCs w:val="24"/>
        </w:rPr>
        <w:t>. Wzywa się państwa członkowskie, które nie przekazały Komisji wymaganych danych, do ich przekazania na potrzeby drugiego sprawozdania dotyczącego SURE.</w:t>
      </w:r>
    </w:p>
    <w:p w14:paraId="4B4444F0" w14:textId="77777777" w:rsidR="009D29AB" w:rsidRPr="000C43EC" w:rsidRDefault="009D29AB" w:rsidP="009D29AB">
      <w:pPr>
        <w:spacing w:before="120"/>
        <w:ind w:left="284"/>
        <w:rPr>
          <w:rFonts w:ascii="Times New Roman" w:hAnsi="Times New Roman" w:cs="Times New Roman"/>
          <w:i/>
          <w:color w:val="000000" w:themeColor="text1"/>
          <w:sz w:val="24"/>
          <w:szCs w:val="24"/>
        </w:rPr>
      </w:pPr>
    </w:p>
    <w:p w14:paraId="15159810" w14:textId="77777777" w:rsidR="009D29AB" w:rsidRPr="000C43EC" w:rsidRDefault="009D29AB" w:rsidP="009D29AB">
      <w:pPr>
        <w:spacing w:before="120"/>
        <w:ind w:left="284"/>
        <w:rPr>
          <w:rFonts w:ascii="Times New Roman" w:hAnsi="Times New Roman" w:cs="Times New Roman"/>
          <w:i/>
          <w:color w:val="000000" w:themeColor="text1"/>
          <w:sz w:val="24"/>
          <w:szCs w:val="24"/>
        </w:rPr>
      </w:pPr>
    </w:p>
    <w:p w14:paraId="78774E5D" w14:textId="77777777" w:rsidR="00832B23" w:rsidRPr="000C43EC" w:rsidRDefault="00832B23" w:rsidP="009D29AB">
      <w:pPr>
        <w:spacing w:before="120"/>
        <w:ind w:left="284"/>
        <w:rPr>
          <w:rFonts w:ascii="Times New Roman" w:hAnsi="Times New Roman" w:cs="Times New Roman"/>
          <w:i/>
          <w:color w:val="000000" w:themeColor="text1"/>
          <w:sz w:val="24"/>
          <w:szCs w:val="24"/>
        </w:rPr>
      </w:pPr>
    </w:p>
    <w:p w14:paraId="14063A9A" w14:textId="34DBC38A" w:rsidR="009D29AB" w:rsidRPr="009D29AB" w:rsidRDefault="009D29AB" w:rsidP="009D29AB">
      <w:pPr>
        <w:spacing w:before="120"/>
        <w:ind w:left="284"/>
        <w:rPr>
          <w:rFonts w:ascii="Times New Roman" w:hAnsi="Times New Roman" w:cs="Times New Roman"/>
          <w:i/>
          <w:color w:val="000000" w:themeColor="text1"/>
          <w:sz w:val="24"/>
          <w:szCs w:val="24"/>
        </w:rPr>
      </w:pPr>
      <w:r>
        <w:rPr>
          <w:rFonts w:ascii="Times New Roman" w:hAnsi="Times New Roman"/>
          <w:i/>
          <w:color w:val="000000" w:themeColor="text1"/>
          <w:sz w:val="24"/>
          <w:szCs w:val="24"/>
        </w:rPr>
        <w:t>3.3 Zwięzły przegląd mechanizmów zmniejszonego wymiaru czasu pracy lub podobnych środków objętych wsparciem</w:t>
      </w:r>
      <w:r w:rsidR="00A467B6">
        <w:rPr>
          <w:rFonts w:ascii="Times New Roman" w:hAnsi="Times New Roman"/>
          <w:i/>
          <w:color w:val="000000" w:themeColor="text1"/>
          <w:sz w:val="24"/>
          <w:szCs w:val="24"/>
        </w:rPr>
        <w:t xml:space="preserve"> w ram</w:t>
      </w:r>
      <w:r>
        <w:rPr>
          <w:rFonts w:ascii="Times New Roman" w:hAnsi="Times New Roman"/>
          <w:i/>
          <w:color w:val="000000" w:themeColor="text1"/>
          <w:sz w:val="24"/>
          <w:szCs w:val="24"/>
        </w:rPr>
        <w:t>ach SURE</w:t>
      </w:r>
    </w:p>
    <w:p w14:paraId="4E02E050" w14:textId="43765361"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Spośród 18 państw członkowskich, które korzystają</w:t>
      </w:r>
      <w:r w:rsidR="00A467B6">
        <w:rPr>
          <w:rFonts w:ascii="Times New Roman" w:hAnsi="Times New Roman"/>
          <w:b/>
          <w:sz w:val="24"/>
          <w:szCs w:val="24"/>
        </w:rPr>
        <w:t xml:space="preserve"> z pom</w:t>
      </w:r>
      <w:r>
        <w:rPr>
          <w:rFonts w:ascii="Times New Roman" w:hAnsi="Times New Roman"/>
          <w:b/>
          <w:sz w:val="24"/>
          <w:szCs w:val="24"/>
        </w:rPr>
        <w:t>ocy</w:t>
      </w:r>
      <w:r w:rsidR="00A467B6">
        <w:rPr>
          <w:rFonts w:ascii="Times New Roman" w:hAnsi="Times New Roman"/>
          <w:b/>
          <w:sz w:val="24"/>
          <w:szCs w:val="24"/>
        </w:rPr>
        <w:t xml:space="preserve"> w ram</w:t>
      </w:r>
      <w:r>
        <w:rPr>
          <w:rFonts w:ascii="Times New Roman" w:hAnsi="Times New Roman"/>
          <w:b/>
          <w:sz w:val="24"/>
          <w:szCs w:val="24"/>
        </w:rPr>
        <w:t>ach SURE, 15 państw członkowskich wykorzystało otrzymane środki na wsparcie finansowania mechanizmów zmniejszonego wymiaru czasu pracy.</w:t>
      </w:r>
      <w:r>
        <w:rPr>
          <w:rFonts w:ascii="Times New Roman" w:hAnsi="Times New Roman"/>
          <w:sz w:val="24"/>
          <w:szCs w:val="24"/>
        </w:rPr>
        <w:t xml:space="preserve"> Są to programy publiczne umożliwiające przedsiębiorstwom mającym trudności gospodarcze przejściowe skrócenie czasu pracy ich pracowników, którzy otrzymują wówczas publiczne wsparcie dochodu za nieprzepracowane godziny. Spośród trzech państw członkowskich, które nie wykorzystały pomocy finansowej</w:t>
      </w:r>
      <w:r w:rsidR="00A467B6">
        <w:rPr>
          <w:rFonts w:ascii="Times New Roman" w:hAnsi="Times New Roman"/>
          <w:sz w:val="24"/>
          <w:szCs w:val="24"/>
        </w:rPr>
        <w:t xml:space="preserve"> w ram</w:t>
      </w:r>
      <w:r>
        <w:rPr>
          <w:rFonts w:ascii="Times New Roman" w:hAnsi="Times New Roman"/>
          <w:sz w:val="24"/>
          <w:szCs w:val="24"/>
        </w:rPr>
        <w:t>ach SURE na sfinansowanie mechanizmów zmniejszonego wymiaru czasu pracy, Irlandia</w:t>
      </w:r>
      <w:r w:rsidR="00A467B6">
        <w:rPr>
          <w:rFonts w:ascii="Times New Roman" w:hAnsi="Times New Roman"/>
          <w:sz w:val="24"/>
          <w:szCs w:val="24"/>
        </w:rPr>
        <w:t xml:space="preserve"> i Mal</w:t>
      </w:r>
      <w:r>
        <w:rPr>
          <w:rFonts w:ascii="Times New Roman" w:hAnsi="Times New Roman"/>
          <w:sz w:val="24"/>
          <w:szCs w:val="24"/>
        </w:rPr>
        <w:t>ta posiadają podobne mechanizmy zapewniające wsparcie przedsiębiorstwom dotkniętym kryzysem związanym z COVID-19</w:t>
      </w:r>
      <w:r w:rsidR="00A467B6">
        <w:rPr>
          <w:rFonts w:ascii="Times New Roman" w:hAnsi="Times New Roman"/>
          <w:sz w:val="24"/>
          <w:szCs w:val="24"/>
        </w:rPr>
        <w:t xml:space="preserve"> w pos</w:t>
      </w:r>
      <w:r>
        <w:rPr>
          <w:rFonts w:ascii="Times New Roman" w:hAnsi="Times New Roman"/>
          <w:sz w:val="24"/>
          <w:szCs w:val="24"/>
        </w:rPr>
        <w:t>taci subsydiowania wynagrodzeń (zob. dalsze informacje poniżej). Węgry natomiast posiadają mechanizm zmniejszonego wymiaru czasu pracy, ale wydatki publiczne</w:t>
      </w:r>
      <w:r w:rsidR="00A467B6">
        <w:rPr>
          <w:rFonts w:ascii="Times New Roman" w:hAnsi="Times New Roman"/>
          <w:sz w:val="24"/>
          <w:szCs w:val="24"/>
        </w:rPr>
        <w:t xml:space="preserve"> w ram</w:t>
      </w:r>
      <w:r>
        <w:rPr>
          <w:rFonts w:ascii="Times New Roman" w:hAnsi="Times New Roman"/>
          <w:sz w:val="24"/>
          <w:szCs w:val="24"/>
        </w:rPr>
        <w:t>ach tego mechanizmu sfinansowano całkowicie za pośrednictwem Europejskiego Funduszu Społecznego (w związku</w:t>
      </w:r>
      <w:r w:rsidR="00A467B6">
        <w:rPr>
          <w:rFonts w:ascii="Times New Roman" w:hAnsi="Times New Roman"/>
          <w:sz w:val="24"/>
          <w:szCs w:val="24"/>
        </w:rPr>
        <w:t xml:space="preserve"> z czy</w:t>
      </w:r>
      <w:r>
        <w:rPr>
          <w:rFonts w:ascii="Times New Roman" w:hAnsi="Times New Roman"/>
          <w:sz w:val="24"/>
          <w:szCs w:val="24"/>
        </w:rPr>
        <w:t>m mechanizm ten nie kwalifikował się do objęcia SURE).</w:t>
      </w:r>
    </w:p>
    <w:p w14:paraId="5F644A02" w14:textId="02C91A23"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W większości przypadków objęte wsparciem mechanizmy zmniejszonego wymiaru czasu pracy są nowymi mechanizmami opracowanymi</w:t>
      </w:r>
      <w:r w:rsidR="00A467B6">
        <w:rPr>
          <w:rFonts w:ascii="Times New Roman" w:hAnsi="Times New Roman"/>
          <w:b/>
          <w:sz w:val="24"/>
          <w:szCs w:val="24"/>
        </w:rPr>
        <w:t xml:space="preserve"> w rea</w:t>
      </w:r>
      <w:r>
        <w:rPr>
          <w:rFonts w:ascii="Times New Roman" w:hAnsi="Times New Roman"/>
          <w:b/>
          <w:sz w:val="24"/>
          <w:szCs w:val="24"/>
        </w:rPr>
        <w:t>kcji na pandemię COVID-19 (zob. tabela 6).</w:t>
      </w:r>
      <w:r>
        <w:rPr>
          <w:rFonts w:ascii="Times New Roman" w:hAnsi="Times New Roman"/>
          <w:sz w:val="24"/>
          <w:szCs w:val="24"/>
        </w:rPr>
        <w:t xml:space="preserve"> Wszystkie te nowe mechanizmy ustanowiono tymczasowo</w:t>
      </w:r>
      <w:r w:rsidR="00A467B6">
        <w:rPr>
          <w:rFonts w:ascii="Times New Roman" w:hAnsi="Times New Roman"/>
          <w:sz w:val="24"/>
          <w:szCs w:val="24"/>
        </w:rPr>
        <w:t xml:space="preserve"> w odp</w:t>
      </w:r>
      <w:r>
        <w:rPr>
          <w:rFonts w:ascii="Times New Roman" w:hAnsi="Times New Roman"/>
          <w:sz w:val="24"/>
          <w:szCs w:val="24"/>
        </w:rPr>
        <w:t>owiedzi na aktualne problemy ekonomiczne. Pięć państw członkowskich, które otrzymały wsparcie</w:t>
      </w:r>
      <w:r w:rsidR="00A467B6">
        <w:rPr>
          <w:rFonts w:ascii="Times New Roman" w:hAnsi="Times New Roman"/>
          <w:sz w:val="24"/>
          <w:szCs w:val="24"/>
        </w:rPr>
        <w:t xml:space="preserve"> w ram</w:t>
      </w:r>
      <w:r>
        <w:rPr>
          <w:rFonts w:ascii="Times New Roman" w:hAnsi="Times New Roman"/>
          <w:sz w:val="24"/>
          <w:szCs w:val="24"/>
        </w:rPr>
        <w:t>ach SURE</w:t>
      </w:r>
      <w:r w:rsidR="00A467B6">
        <w:rPr>
          <w:rFonts w:ascii="Times New Roman" w:hAnsi="Times New Roman"/>
          <w:sz w:val="24"/>
          <w:szCs w:val="24"/>
        </w:rPr>
        <w:t xml:space="preserve"> i wdr</w:t>
      </w:r>
      <w:r>
        <w:rPr>
          <w:rFonts w:ascii="Times New Roman" w:hAnsi="Times New Roman"/>
          <w:sz w:val="24"/>
          <w:szCs w:val="24"/>
        </w:rPr>
        <w:t>ożyły mechanizmy zmniejszonego wymiaru czasu pracy jeszcze przed wybuchem pandemii COVID-19 (Belgia, Hiszpania, Włochy, Portugalia</w:t>
      </w:r>
      <w:r w:rsidR="00A467B6">
        <w:rPr>
          <w:rFonts w:ascii="Times New Roman" w:hAnsi="Times New Roman"/>
          <w:sz w:val="24"/>
          <w:szCs w:val="24"/>
        </w:rPr>
        <w:t xml:space="preserve"> i Sło</w:t>
      </w:r>
      <w:r>
        <w:rPr>
          <w:rFonts w:ascii="Times New Roman" w:hAnsi="Times New Roman"/>
          <w:sz w:val="24"/>
          <w:szCs w:val="24"/>
        </w:rPr>
        <w:t>wacja), dostosowały je</w:t>
      </w:r>
      <w:r w:rsidR="00A467B6">
        <w:rPr>
          <w:rFonts w:ascii="Times New Roman" w:hAnsi="Times New Roman"/>
          <w:sz w:val="24"/>
          <w:szCs w:val="24"/>
        </w:rPr>
        <w:t xml:space="preserve"> w rea</w:t>
      </w:r>
      <w:r>
        <w:rPr>
          <w:rFonts w:ascii="Times New Roman" w:hAnsi="Times New Roman"/>
          <w:sz w:val="24"/>
          <w:szCs w:val="24"/>
        </w:rPr>
        <w:t xml:space="preserve">kcji na pandemię. Wprowadzone zmiany dotyczyły głównie tymczasowego uproszczenia procedur administracyjnych, rozszerzenia zakresu tych mechanizmów, złagodzenia warunków kwalifikowalności, większej </w:t>
      </w:r>
      <w:r>
        <w:rPr>
          <w:rFonts w:ascii="Times New Roman" w:hAnsi="Times New Roman"/>
          <w:sz w:val="24"/>
        </w:rPr>
        <w:t xml:space="preserve">puli dostępnych środków </w:t>
      </w:r>
      <w:r>
        <w:rPr>
          <w:rFonts w:ascii="Times New Roman" w:hAnsi="Times New Roman"/>
          <w:sz w:val="24"/>
          <w:szCs w:val="24"/>
        </w:rPr>
        <w:t xml:space="preserve">(dla pracowników lub pracodawców) oraz wydłużonego czasu trwania wsparcia. </w:t>
      </w:r>
    </w:p>
    <w:p w14:paraId="25780C9D" w14:textId="0C7B77B3"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W ramach wszystkich krajowych mechanizmów zmniejszonego wymiaru czasu pracy zapewnia się wsparcie dla pracowników, których umowa zostaje całkowicie zawieszona</w:t>
      </w:r>
      <w:r w:rsidR="00A467B6">
        <w:rPr>
          <w:rFonts w:ascii="Times New Roman" w:hAnsi="Times New Roman"/>
          <w:b/>
          <w:sz w:val="24"/>
          <w:szCs w:val="24"/>
        </w:rPr>
        <w:t xml:space="preserve"> w nas</w:t>
      </w:r>
      <w:r>
        <w:rPr>
          <w:rFonts w:ascii="Times New Roman" w:hAnsi="Times New Roman"/>
          <w:b/>
          <w:sz w:val="24"/>
          <w:szCs w:val="24"/>
        </w:rPr>
        <w:t>tępstwie zupełnego przerwania działalności gospodarczej.</w:t>
      </w:r>
      <w:r>
        <w:rPr>
          <w:rFonts w:ascii="Times New Roman" w:hAnsi="Times New Roman"/>
          <w:sz w:val="24"/>
          <w:szCs w:val="24"/>
        </w:rPr>
        <w:t xml:space="preserve"> Ponadto większość mechanizmów (ale nie wszystkie) zapewnia wsparcie także</w:t>
      </w:r>
      <w:r w:rsidR="00A467B6">
        <w:rPr>
          <w:rFonts w:ascii="Times New Roman" w:hAnsi="Times New Roman"/>
          <w:sz w:val="24"/>
          <w:szCs w:val="24"/>
        </w:rPr>
        <w:t xml:space="preserve"> w prz</w:t>
      </w:r>
      <w:r>
        <w:rPr>
          <w:rFonts w:ascii="Times New Roman" w:hAnsi="Times New Roman"/>
          <w:sz w:val="24"/>
          <w:szCs w:val="24"/>
        </w:rPr>
        <w:t>ypadku częściowego zmniejszenia liczby godzin pracy</w:t>
      </w:r>
      <w:r w:rsidR="00A467B6">
        <w:rPr>
          <w:rFonts w:ascii="Times New Roman" w:hAnsi="Times New Roman"/>
          <w:sz w:val="24"/>
          <w:szCs w:val="24"/>
        </w:rPr>
        <w:t xml:space="preserve"> w okr</w:t>
      </w:r>
      <w:r>
        <w:rPr>
          <w:rFonts w:ascii="Times New Roman" w:hAnsi="Times New Roman"/>
          <w:sz w:val="24"/>
          <w:szCs w:val="24"/>
        </w:rPr>
        <w:t>esach ograniczenia działalności gospodarczej. Podczas gdy</w:t>
      </w:r>
      <w:r w:rsidR="00A467B6">
        <w:rPr>
          <w:rFonts w:ascii="Times New Roman" w:hAnsi="Times New Roman"/>
          <w:sz w:val="24"/>
          <w:szCs w:val="24"/>
        </w:rPr>
        <w:t xml:space="preserve"> w wię</w:t>
      </w:r>
      <w:r>
        <w:rPr>
          <w:rFonts w:ascii="Times New Roman" w:hAnsi="Times New Roman"/>
          <w:sz w:val="24"/>
          <w:szCs w:val="24"/>
        </w:rPr>
        <w:t>kszości przypadków przedsiębiorstwa mogą same wybrać zakres obniżenia wymiaru czasu pracy,</w:t>
      </w:r>
      <w:r w:rsidR="00A467B6">
        <w:rPr>
          <w:rFonts w:ascii="Times New Roman" w:hAnsi="Times New Roman"/>
          <w:sz w:val="24"/>
          <w:szCs w:val="24"/>
        </w:rPr>
        <w:t xml:space="preserve"> w nie</w:t>
      </w:r>
      <w:r>
        <w:rPr>
          <w:rFonts w:ascii="Times New Roman" w:hAnsi="Times New Roman"/>
          <w:sz w:val="24"/>
          <w:szCs w:val="24"/>
        </w:rPr>
        <w:t>których krajach mają zastosowanie ograniczenia. Na przykład</w:t>
      </w:r>
      <w:r w:rsidR="00A467B6">
        <w:rPr>
          <w:rFonts w:ascii="Times New Roman" w:hAnsi="Times New Roman"/>
          <w:sz w:val="24"/>
          <w:szCs w:val="24"/>
        </w:rPr>
        <w:t xml:space="preserve"> w Gre</w:t>
      </w:r>
      <w:r>
        <w:rPr>
          <w:rFonts w:ascii="Times New Roman" w:hAnsi="Times New Roman"/>
          <w:sz w:val="24"/>
          <w:szCs w:val="24"/>
        </w:rPr>
        <w:t>cji i na Słowenii poza całkowitym zawieszeniem pracy (w przypadku zupełnego zatrzymania działalności) umożliwia się wyłącznie obniżenie</w:t>
      </w:r>
      <w:r w:rsidR="00A467B6">
        <w:rPr>
          <w:rFonts w:ascii="Times New Roman" w:hAnsi="Times New Roman"/>
          <w:sz w:val="24"/>
          <w:szCs w:val="24"/>
        </w:rPr>
        <w:t xml:space="preserve"> z peł</w:t>
      </w:r>
      <w:r>
        <w:rPr>
          <w:rFonts w:ascii="Times New Roman" w:hAnsi="Times New Roman"/>
          <w:sz w:val="24"/>
          <w:szCs w:val="24"/>
        </w:rPr>
        <w:t>nego do niepełnego wymiaru czasu pracy. Wysokość wsparcia publicznego oblicza się zasadniczo jako odsetek wynagrodzenia pracownika</w:t>
      </w:r>
      <w:r w:rsidR="00A467B6">
        <w:rPr>
          <w:rFonts w:ascii="Times New Roman" w:hAnsi="Times New Roman"/>
          <w:sz w:val="24"/>
          <w:szCs w:val="24"/>
        </w:rPr>
        <w:t xml:space="preserve"> i wyn</w:t>
      </w:r>
      <w:r>
        <w:rPr>
          <w:rFonts w:ascii="Times New Roman" w:hAnsi="Times New Roman"/>
          <w:sz w:val="24"/>
          <w:szCs w:val="24"/>
        </w:rPr>
        <w:t xml:space="preserve">osi ono </w:t>
      </w:r>
      <w:r w:rsidRPr="00A467B6">
        <w:rPr>
          <w:rFonts w:ascii="Times New Roman" w:hAnsi="Times New Roman"/>
          <w:sz w:val="24"/>
          <w:szCs w:val="24"/>
        </w:rPr>
        <w:t>od</w:t>
      </w:r>
      <w:r w:rsidR="00A467B6" w:rsidRPr="00A467B6">
        <w:rPr>
          <w:rFonts w:ascii="Times New Roman" w:hAnsi="Times New Roman"/>
          <w:sz w:val="24"/>
          <w:szCs w:val="24"/>
        </w:rPr>
        <w:t> </w:t>
      </w:r>
      <w:r w:rsidRPr="00A467B6">
        <w:rPr>
          <w:rFonts w:ascii="Times New Roman" w:hAnsi="Times New Roman"/>
          <w:sz w:val="24"/>
          <w:szCs w:val="24"/>
        </w:rPr>
        <w:t>50</w:t>
      </w:r>
      <w:r w:rsidR="00A467B6" w:rsidRPr="00A467B6">
        <w:rPr>
          <w:rFonts w:ascii="Times New Roman" w:hAnsi="Times New Roman"/>
          <w:sz w:val="24"/>
          <w:szCs w:val="24"/>
        </w:rPr>
        <w:t> </w:t>
      </w:r>
      <w:r w:rsidRPr="00A467B6">
        <w:rPr>
          <w:rFonts w:ascii="Times New Roman" w:hAnsi="Times New Roman"/>
          <w:sz w:val="24"/>
          <w:szCs w:val="24"/>
        </w:rPr>
        <w:t>%</w:t>
      </w:r>
      <w:r>
        <w:rPr>
          <w:rFonts w:ascii="Times New Roman" w:hAnsi="Times New Roman"/>
          <w:sz w:val="24"/>
          <w:szCs w:val="24"/>
        </w:rPr>
        <w:t xml:space="preserve"> </w:t>
      </w:r>
      <w:r w:rsidRPr="00A467B6">
        <w:rPr>
          <w:rFonts w:ascii="Times New Roman" w:hAnsi="Times New Roman"/>
          <w:sz w:val="24"/>
          <w:szCs w:val="24"/>
        </w:rPr>
        <w:t>do</w:t>
      </w:r>
      <w:r w:rsidR="00A467B6" w:rsidRPr="00A467B6">
        <w:rPr>
          <w:rFonts w:ascii="Times New Roman" w:hAnsi="Times New Roman"/>
          <w:sz w:val="24"/>
          <w:szCs w:val="24"/>
        </w:rPr>
        <w:t> </w:t>
      </w:r>
      <w:r w:rsidRPr="00A467B6">
        <w:rPr>
          <w:rFonts w:ascii="Times New Roman" w:hAnsi="Times New Roman"/>
          <w:sz w:val="24"/>
          <w:szCs w:val="24"/>
        </w:rPr>
        <w:t>1</w:t>
      </w:r>
      <w:r>
        <w:rPr>
          <w:rFonts w:ascii="Times New Roman" w:hAnsi="Times New Roman"/>
          <w:sz w:val="24"/>
          <w:szCs w:val="24"/>
        </w:rPr>
        <w:t>0</w:t>
      </w:r>
      <w:r w:rsidRPr="00A467B6">
        <w:rPr>
          <w:rFonts w:ascii="Times New Roman" w:hAnsi="Times New Roman"/>
          <w:sz w:val="24"/>
          <w:szCs w:val="24"/>
        </w:rPr>
        <w:t>0</w:t>
      </w:r>
      <w:r w:rsidR="00A467B6" w:rsidRPr="00A467B6">
        <w:rPr>
          <w:rFonts w:ascii="Times New Roman" w:hAnsi="Times New Roman"/>
          <w:sz w:val="24"/>
          <w:szCs w:val="24"/>
        </w:rPr>
        <w:t> </w:t>
      </w:r>
      <w:r w:rsidRPr="00A467B6">
        <w:rPr>
          <w:rFonts w:ascii="Times New Roman" w:hAnsi="Times New Roman"/>
          <w:sz w:val="24"/>
          <w:szCs w:val="24"/>
        </w:rPr>
        <w:t>%</w:t>
      </w:r>
      <w:r w:rsidR="00A467B6">
        <w:rPr>
          <w:rFonts w:ascii="Times New Roman" w:hAnsi="Times New Roman"/>
          <w:sz w:val="24"/>
          <w:szCs w:val="24"/>
        </w:rPr>
        <w:t>. W zał</w:t>
      </w:r>
      <w:r>
        <w:rPr>
          <w:rFonts w:ascii="Times New Roman" w:hAnsi="Times New Roman"/>
          <w:sz w:val="24"/>
          <w:szCs w:val="24"/>
        </w:rPr>
        <w:t>ączniku 1 przedstawiono dalsze szczegółowe informacje na temat mechanizmów zmniejszonego wymiaru czasu pracy.</w:t>
      </w:r>
    </w:p>
    <w:p w14:paraId="0988AD5E" w14:textId="743615CB"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Wszystkie 18 państw członkowskich poza Bułgarią</w:t>
      </w:r>
      <w:r w:rsidR="00A467B6">
        <w:rPr>
          <w:rFonts w:ascii="Times New Roman" w:hAnsi="Times New Roman"/>
          <w:b/>
          <w:sz w:val="24"/>
          <w:szCs w:val="24"/>
        </w:rPr>
        <w:t xml:space="preserve"> i Cho</w:t>
      </w:r>
      <w:r>
        <w:rPr>
          <w:rFonts w:ascii="Times New Roman" w:hAnsi="Times New Roman"/>
          <w:b/>
          <w:sz w:val="24"/>
          <w:szCs w:val="24"/>
        </w:rPr>
        <w:t>rwacją złożyło wnioski</w:t>
      </w:r>
      <w:r w:rsidR="00A467B6">
        <w:rPr>
          <w:rFonts w:ascii="Times New Roman" w:hAnsi="Times New Roman"/>
          <w:b/>
          <w:sz w:val="24"/>
          <w:szCs w:val="24"/>
        </w:rPr>
        <w:t xml:space="preserve"> o wsp</w:t>
      </w:r>
      <w:r>
        <w:rPr>
          <w:rFonts w:ascii="Times New Roman" w:hAnsi="Times New Roman"/>
          <w:b/>
          <w:sz w:val="24"/>
          <w:szCs w:val="24"/>
        </w:rPr>
        <w:t>arcie</w:t>
      </w:r>
      <w:r w:rsidR="00A467B6">
        <w:rPr>
          <w:rFonts w:ascii="Times New Roman" w:hAnsi="Times New Roman"/>
          <w:b/>
          <w:sz w:val="24"/>
          <w:szCs w:val="24"/>
        </w:rPr>
        <w:t xml:space="preserve"> w cel</w:t>
      </w:r>
      <w:r>
        <w:rPr>
          <w:rFonts w:ascii="Times New Roman" w:hAnsi="Times New Roman"/>
          <w:b/>
          <w:sz w:val="24"/>
          <w:szCs w:val="24"/>
        </w:rPr>
        <w:t>u sfinansowania „środków podobnych do mechanizmów zmniejszonego wymiaru czasu pracy”</w:t>
      </w:r>
      <w:r w:rsidR="00A467B6">
        <w:rPr>
          <w:rFonts w:ascii="Times New Roman" w:hAnsi="Times New Roman"/>
          <w:b/>
          <w:sz w:val="24"/>
          <w:szCs w:val="24"/>
        </w:rPr>
        <w:t xml:space="preserve">. </w:t>
      </w:r>
      <w:r w:rsidR="00A467B6">
        <w:rPr>
          <w:rFonts w:ascii="Times New Roman" w:hAnsi="Times New Roman"/>
          <w:sz w:val="24"/>
          <w:szCs w:val="24"/>
        </w:rPr>
        <w:t>W</w:t>
      </w:r>
      <w:r w:rsidR="00A467B6">
        <w:rPr>
          <w:rFonts w:ascii="Times New Roman" w:hAnsi="Times New Roman"/>
          <w:b/>
          <w:sz w:val="24"/>
          <w:szCs w:val="24"/>
        </w:rPr>
        <w:t> </w:t>
      </w:r>
      <w:r w:rsidR="00A467B6">
        <w:rPr>
          <w:rFonts w:ascii="Times New Roman" w:hAnsi="Times New Roman"/>
          <w:sz w:val="24"/>
          <w:szCs w:val="24"/>
        </w:rPr>
        <w:t>wię</w:t>
      </w:r>
      <w:r>
        <w:rPr>
          <w:rFonts w:ascii="Times New Roman" w:hAnsi="Times New Roman"/>
          <w:sz w:val="24"/>
          <w:szCs w:val="24"/>
        </w:rPr>
        <w:t>kszości przypadków wnioski te</w:t>
      </w:r>
      <w:r>
        <w:rPr>
          <w:rFonts w:ascii="Times New Roman" w:hAnsi="Times New Roman"/>
          <w:b/>
          <w:sz w:val="24"/>
          <w:szCs w:val="24"/>
        </w:rPr>
        <w:t xml:space="preserve"> </w:t>
      </w:r>
      <w:r>
        <w:rPr>
          <w:rFonts w:ascii="Times New Roman" w:hAnsi="Times New Roman"/>
          <w:sz w:val="24"/>
          <w:szCs w:val="24"/>
        </w:rPr>
        <w:t>dotyczyły środków, które miały być dodatkowe</w:t>
      </w:r>
      <w:r w:rsidR="00A467B6">
        <w:rPr>
          <w:rFonts w:ascii="Times New Roman" w:hAnsi="Times New Roman"/>
          <w:sz w:val="24"/>
          <w:szCs w:val="24"/>
        </w:rPr>
        <w:t xml:space="preserve"> w sto</w:t>
      </w:r>
      <w:r>
        <w:rPr>
          <w:rFonts w:ascii="Times New Roman" w:hAnsi="Times New Roman"/>
          <w:sz w:val="24"/>
          <w:szCs w:val="24"/>
        </w:rPr>
        <w:t>sunku do mechanizmów zmniejszonego wymiaru czasu pracy. Są to środki służące ochronie pracowników</w:t>
      </w:r>
      <w:r w:rsidR="00A467B6">
        <w:rPr>
          <w:rFonts w:ascii="Times New Roman" w:hAnsi="Times New Roman"/>
          <w:sz w:val="24"/>
          <w:szCs w:val="24"/>
        </w:rPr>
        <w:t xml:space="preserve"> i osó</w:t>
      </w:r>
      <w:r>
        <w:rPr>
          <w:rFonts w:ascii="Times New Roman" w:hAnsi="Times New Roman"/>
          <w:sz w:val="24"/>
          <w:szCs w:val="24"/>
        </w:rPr>
        <w:t>b samozatrudnionych, zmniejszeniu skali bezrobocia</w:t>
      </w:r>
      <w:r w:rsidR="00A467B6">
        <w:rPr>
          <w:rFonts w:ascii="Times New Roman" w:hAnsi="Times New Roman"/>
          <w:sz w:val="24"/>
          <w:szCs w:val="24"/>
        </w:rPr>
        <w:t xml:space="preserve"> i utr</w:t>
      </w:r>
      <w:r>
        <w:rPr>
          <w:rFonts w:ascii="Times New Roman" w:hAnsi="Times New Roman"/>
          <w:sz w:val="24"/>
          <w:szCs w:val="24"/>
        </w:rPr>
        <w:t>aty dochodów</w:t>
      </w:r>
      <w:r w:rsidR="00A467B6">
        <w:rPr>
          <w:rFonts w:ascii="Times New Roman" w:hAnsi="Times New Roman"/>
          <w:sz w:val="24"/>
          <w:szCs w:val="24"/>
        </w:rPr>
        <w:t xml:space="preserve"> w kon</w:t>
      </w:r>
      <w:r>
        <w:rPr>
          <w:rFonts w:ascii="Times New Roman" w:hAnsi="Times New Roman"/>
          <w:sz w:val="24"/>
          <w:szCs w:val="24"/>
        </w:rPr>
        <w:t>tekście kryzysu związanego z COVID-19, ale nie wchodzące ściśle</w:t>
      </w:r>
      <w:r w:rsidR="00A467B6">
        <w:rPr>
          <w:rFonts w:ascii="Times New Roman" w:hAnsi="Times New Roman"/>
          <w:sz w:val="24"/>
          <w:szCs w:val="24"/>
        </w:rPr>
        <w:t xml:space="preserve"> w zak</w:t>
      </w:r>
      <w:r>
        <w:rPr>
          <w:rFonts w:ascii="Times New Roman" w:hAnsi="Times New Roman"/>
          <w:sz w:val="24"/>
          <w:szCs w:val="24"/>
        </w:rPr>
        <w:t>res przedstawionej powyżej definicji mechanizmu zmniejszonego wymiaru czasu pracy. Liczba</w:t>
      </w:r>
      <w:r w:rsidR="00A467B6">
        <w:rPr>
          <w:rFonts w:ascii="Times New Roman" w:hAnsi="Times New Roman"/>
          <w:sz w:val="24"/>
          <w:szCs w:val="24"/>
        </w:rPr>
        <w:t xml:space="preserve"> i rod</w:t>
      </w:r>
      <w:r>
        <w:rPr>
          <w:rFonts w:ascii="Times New Roman" w:hAnsi="Times New Roman"/>
          <w:sz w:val="24"/>
          <w:szCs w:val="24"/>
        </w:rPr>
        <w:t>zaj środków, które wchodzą</w:t>
      </w:r>
      <w:r w:rsidR="00A467B6">
        <w:rPr>
          <w:rFonts w:ascii="Times New Roman" w:hAnsi="Times New Roman"/>
          <w:sz w:val="24"/>
          <w:szCs w:val="24"/>
        </w:rPr>
        <w:t xml:space="preserve"> w zak</w:t>
      </w:r>
      <w:r>
        <w:rPr>
          <w:rFonts w:ascii="Times New Roman" w:hAnsi="Times New Roman"/>
          <w:sz w:val="24"/>
          <w:szCs w:val="24"/>
        </w:rPr>
        <w:t>res tej kategorii, znacznie się różnią. Można je zasadniczo pogrupować</w:t>
      </w:r>
      <w:r w:rsidR="00A467B6">
        <w:rPr>
          <w:rFonts w:ascii="Times New Roman" w:hAnsi="Times New Roman"/>
          <w:sz w:val="24"/>
          <w:szCs w:val="24"/>
        </w:rPr>
        <w:t xml:space="preserve"> w nas</w:t>
      </w:r>
      <w:r>
        <w:rPr>
          <w:rFonts w:ascii="Times New Roman" w:hAnsi="Times New Roman"/>
          <w:sz w:val="24"/>
          <w:szCs w:val="24"/>
        </w:rPr>
        <w:t>tępujący sposób:</w:t>
      </w:r>
    </w:p>
    <w:p w14:paraId="5B6FA9D1" w14:textId="4049560C"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programy subsydiowania wynagrodzeń</w:t>
      </w:r>
      <w:r>
        <w:rPr>
          <w:rFonts w:ascii="Times New Roman" w:hAnsi="Times New Roman"/>
          <w:sz w:val="24"/>
          <w:szCs w:val="24"/>
        </w:rPr>
        <w:t>, takie jak programy</w:t>
      </w:r>
      <w:r w:rsidR="00A467B6">
        <w:rPr>
          <w:rFonts w:ascii="Times New Roman" w:hAnsi="Times New Roman"/>
          <w:sz w:val="24"/>
          <w:szCs w:val="24"/>
        </w:rPr>
        <w:t xml:space="preserve"> w Irl</w:t>
      </w:r>
      <w:r>
        <w:rPr>
          <w:rFonts w:ascii="Times New Roman" w:hAnsi="Times New Roman"/>
          <w:sz w:val="24"/>
          <w:szCs w:val="24"/>
        </w:rPr>
        <w:t>andii i na Malcie,</w:t>
      </w:r>
      <w:r w:rsidR="00A467B6">
        <w:rPr>
          <w:rFonts w:ascii="Times New Roman" w:hAnsi="Times New Roman"/>
          <w:sz w:val="24"/>
          <w:szCs w:val="24"/>
        </w:rPr>
        <w:t xml:space="preserve"> o któ</w:t>
      </w:r>
      <w:r>
        <w:rPr>
          <w:rFonts w:ascii="Times New Roman" w:hAnsi="Times New Roman"/>
          <w:sz w:val="24"/>
          <w:szCs w:val="24"/>
        </w:rPr>
        <w:t>rych mowa powyżej,</w:t>
      </w:r>
      <w:r w:rsidR="00A467B6">
        <w:rPr>
          <w:rFonts w:ascii="Times New Roman" w:hAnsi="Times New Roman"/>
          <w:sz w:val="24"/>
          <w:szCs w:val="24"/>
        </w:rPr>
        <w:t xml:space="preserve"> w ram</w:t>
      </w:r>
      <w:r>
        <w:rPr>
          <w:rFonts w:ascii="Times New Roman" w:hAnsi="Times New Roman"/>
          <w:sz w:val="24"/>
          <w:szCs w:val="24"/>
        </w:rPr>
        <w:t>ach których subsydiuje się koszty pracy ponoszone przez przedsiębiorstwa dotknięte kryzysem związanym z COVID-19. Cel tych programów jest taki sam, jak cel mechanizmów zmniejszonego wymiaru czasu pracy (tj. utrzymanie zatrudnienia, pomoc przedsiębiorstwom</w:t>
      </w:r>
      <w:r w:rsidR="00A467B6">
        <w:rPr>
          <w:rFonts w:ascii="Times New Roman" w:hAnsi="Times New Roman"/>
          <w:sz w:val="24"/>
          <w:szCs w:val="24"/>
        </w:rPr>
        <w:t xml:space="preserve"> w uni</w:t>
      </w:r>
      <w:r>
        <w:rPr>
          <w:rFonts w:ascii="Times New Roman" w:hAnsi="Times New Roman"/>
          <w:sz w:val="24"/>
          <w:szCs w:val="24"/>
        </w:rPr>
        <w:t>knięciu konieczności zwalniania pracowników). Zapewniane wsparcie nie jest jednak bezpośrednio związane</w:t>
      </w:r>
      <w:r w:rsidR="00A467B6">
        <w:rPr>
          <w:rFonts w:ascii="Times New Roman" w:hAnsi="Times New Roman"/>
          <w:sz w:val="24"/>
          <w:szCs w:val="24"/>
        </w:rPr>
        <w:t xml:space="preserve"> z fak</w:t>
      </w:r>
      <w:r>
        <w:rPr>
          <w:rFonts w:ascii="Times New Roman" w:hAnsi="Times New Roman"/>
          <w:sz w:val="24"/>
          <w:szCs w:val="24"/>
        </w:rPr>
        <w:t>tycznym obniżeniem liczby godzin przepracowywanych przez każdego pracownika, ale wyłącznie ze spadkiem obrotów;</w:t>
      </w:r>
    </w:p>
    <w:p w14:paraId="65D29961" w14:textId="4ECFA189"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środki wsparcia osób samozatrudnionych</w:t>
      </w:r>
      <w:r>
        <w:rPr>
          <w:rFonts w:ascii="Times New Roman" w:hAnsi="Times New Roman"/>
          <w:sz w:val="24"/>
          <w:szCs w:val="24"/>
        </w:rPr>
        <w:t>, obecne</w:t>
      </w:r>
      <w:r w:rsidR="00A467B6">
        <w:rPr>
          <w:rFonts w:ascii="Times New Roman" w:hAnsi="Times New Roman"/>
          <w:sz w:val="24"/>
          <w:szCs w:val="24"/>
        </w:rPr>
        <w:t xml:space="preserve"> w pra</w:t>
      </w:r>
      <w:r>
        <w:rPr>
          <w:rFonts w:ascii="Times New Roman" w:hAnsi="Times New Roman"/>
          <w:sz w:val="24"/>
          <w:szCs w:val="24"/>
        </w:rPr>
        <w:t>wie wszystkich państwach członkowskich, które wystąpiły</w:t>
      </w:r>
      <w:r w:rsidR="00A467B6">
        <w:rPr>
          <w:rFonts w:ascii="Times New Roman" w:hAnsi="Times New Roman"/>
          <w:sz w:val="24"/>
          <w:szCs w:val="24"/>
        </w:rPr>
        <w:t xml:space="preserve"> o wsp</w:t>
      </w:r>
      <w:r>
        <w:rPr>
          <w:rFonts w:ascii="Times New Roman" w:hAnsi="Times New Roman"/>
          <w:sz w:val="24"/>
          <w:szCs w:val="24"/>
        </w:rPr>
        <w:t>arcie</w:t>
      </w:r>
      <w:r w:rsidR="00A467B6">
        <w:rPr>
          <w:rFonts w:ascii="Times New Roman" w:hAnsi="Times New Roman"/>
          <w:sz w:val="24"/>
          <w:szCs w:val="24"/>
        </w:rPr>
        <w:t xml:space="preserve"> w ram</w:t>
      </w:r>
      <w:r>
        <w:rPr>
          <w:rFonts w:ascii="Times New Roman" w:hAnsi="Times New Roman"/>
          <w:sz w:val="24"/>
          <w:szCs w:val="24"/>
        </w:rPr>
        <w:t>ach SURE. Środki te obejmują jednorazowe wsparcie dochodu, przyznawane albo jako kwota zryczałtowana, albo jako wypadkowa wcześniejszych dochodów/poniesionych strat; oraz inne środki wsparcia ograniczające koszty operacyjne przedsiębiorstw</w:t>
      </w:r>
      <w:r w:rsidR="00A467B6">
        <w:rPr>
          <w:rFonts w:ascii="Times New Roman" w:hAnsi="Times New Roman"/>
          <w:sz w:val="24"/>
          <w:szCs w:val="24"/>
        </w:rPr>
        <w:t xml:space="preserve"> w zak</w:t>
      </w:r>
      <w:r>
        <w:rPr>
          <w:rFonts w:ascii="Times New Roman" w:hAnsi="Times New Roman"/>
          <w:sz w:val="24"/>
          <w:szCs w:val="24"/>
        </w:rPr>
        <w:t>resie,</w:t>
      </w:r>
      <w:r w:rsidR="00A467B6">
        <w:rPr>
          <w:rFonts w:ascii="Times New Roman" w:hAnsi="Times New Roman"/>
          <w:sz w:val="24"/>
          <w:szCs w:val="24"/>
        </w:rPr>
        <w:t xml:space="preserve"> w jak</w:t>
      </w:r>
      <w:r>
        <w:rPr>
          <w:rFonts w:ascii="Times New Roman" w:hAnsi="Times New Roman"/>
          <w:sz w:val="24"/>
          <w:szCs w:val="24"/>
        </w:rPr>
        <w:t>im przynoszą one korzyści osobom samozatrudnionym</w:t>
      </w:r>
      <w:r w:rsidR="00A467B6">
        <w:rPr>
          <w:rFonts w:ascii="Times New Roman" w:hAnsi="Times New Roman"/>
          <w:sz w:val="24"/>
          <w:szCs w:val="24"/>
        </w:rPr>
        <w:t xml:space="preserve"> i spó</w:t>
      </w:r>
      <w:r>
        <w:rPr>
          <w:rFonts w:ascii="Times New Roman" w:hAnsi="Times New Roman"/>
          <w:sz w:val="24"/>
          <w:szCs w:val="24"/>
        </w:rPr>
        <w:t xml:space="preserve">łkom jednoosobowym. Zasadniczy wymóg jest taki, że beneficjenci wsparcia muszą kontynuować działalność na własny rachunek lub działalność gospodarczą (tj. nie mogą zakończyć działalności); </w:t>
      </w:r>
    </w:p>
    <w:p w14:paraId="5B531200" w14:textId="15D31485"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specjalne świadczenia</w:t>
      </w:r>
      <w:r w:rsidR="00A467B6">
        <w:rPr>
          <w:rFonts w:ascii="Times New Roman" w:hAnsi="Times New Roman"/>
          <w:i/>
          <w:sz w:val="24"/>
          <w:szCs w:val="24"/>
        </w:rPr>
        <w:t xml:space="preserve"> z tyt</w:t>
      </w:r>
      <w:r>
        <w:rPr>
          <w:rFonts w:ascii="Times New Roman" w:hAnsi="Times New Roman"/>
          <w:i/>
          <w:sz w:val="24"/>
          <w:szCs w:val="24"/>
        </w:rPr>
        <w:t>ułu urlopu rodzicielskiego</w:t>
      </w:r>
      <w:r>
        <w:rPr>
          <w:rFonts w:ascii="Times New Roman" w:hAnsi="Times New Roman"/>
          <w:sz w:val="24"/>
          <w:szCs w:val="24"/>
        </w:rPr>
        <w:t xml:space="preserve"> (Belgia, Czechy, Włochy, Portugalia, Cypr</w:t>
      </w:r>
      <w:r w:rsidR="00A467B6">
        <w:rPr>
          <w:rFonts w:ascii="Times New Roman" w:hAnsi="Times New Roman"/>
          <w:sz w:val="24"/>
          <w:szCs w:val="24"/>
        </w:rPr>
        <w:t xml:space="preserve"> i Mal</w:t>
      </w:r>
      <w:r>
        <w:rPr>
          <w:rFonts w:ascii="Times New Roman" w:hAnsi="Times New Roman"/>
          <w:sz w:val="24"/>
          <w:szCs w:val="24"/>
        </w:rPr>
        <w:t>ta) zapewniające wsparcie dochodu pracownikom lub osobom samozatrudnionym posiadającym dzieci</w:t>
      </w:r>
      <w:r w:rsidR="00A467B6">
        <w:rPr>
          <w:rFonts w:ascii="Times New Roman" w:hAnsi="Times New Roman"/>
          <w:sz w:val="24"/>
          <w:szCs w:val="24"/>
        </w:rPr>
        <w:t xml:space="preserve"> w okr</w:t>
      </w:r>
      <w:r>
        <w:rPr>
          <w:rFonts w:ascii="Times New Roman" w:hAnsi="Times New Roman"/>
          <w:sz w:val="24"/>
          <w:szCs w:val="24"/>
        </w:rPr>
        <w:t>esach nadzwyczajnego zamknięcia szkół;</w:t>
      </w:r>
    </w:p>
    <w:p w14:paraId="1CE67C31" w14:textId="3F1CE691"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i/>
          <w:sz w:val="24"/>
          <w:szCs w:val="24"/>
        </w:rPr>
        <w:t>wsparcie dla pracowników sezonowych</w:t>
      </w:r>
      <w:r>
        <w:rPr>
          <w:rFonts w:ascii="Times New Roman" w:hAnsi="Times New Roman"/>
          <w:sz w:val="24"/>
          <w:szCs w:val="24"/>
        </w:rPr>
        <w:t xml:space="preserve"> (Cypr, Grecja, Włochy, Hiszpania), których umowę</w:t>
      </w:r>
      <w:r w:rsidR="00A467B6">
        <w:rPr>
          <w:rFonts w:ascii="Times New Roman" w:hAnsi="Times New Roman"/>
          <w:sz w:val="24"/>
          <w:szCs w:val="24"/>
        </w:rPr>
        <w:t xml:space="preserve"> o pra</w:t>
      </w:r>
      <w:r>
        <w:rPr>
          <w:rFonts w:ascii="Times New Roman" w:hAnsi="Times New Roman"/>
          <w:sz w:val="24"/>
          <w:szCs w:val="24"/>
        </w:rPr>
        <w:t>cę zawieszono ze względu na pandemię, głównie</w:t>
      </w:r>
      <w:r w:rsidR="00A467B6">
        <w:rPr>
          <w:rFonts w:ascii="Times New Roman" w:hAnsi="Times New Roman"/>
          <w:sz w:val="24"/>
          <w:szCs w:val="24"/>
        </w:rPr>
        <w:t xml:space="preserve"> w sek</w:t>
      </w:r>
      <w:r>
        <w:rPr>
          <w:rFonts w:ascii="Times New Roman" w:hAnsi="Times New Roman"/>
          <w:sz w:val="24"/>
          <w:szCs w:val="24"/>
        </w:rPr>
        <w:t>torach turystyki lub rolnictwa. Są to pracownicy stale pracujący sezonowo, którzy mieli wznowić pracę</w:t>
      </w:r>
      <w:r w:rsidR="00A467B6">
        <w:rPr>
          <w:rFonts w:ascii="Times New Roman" w:hAnsi="Times New Roman"/>
          <w:sz w:val="24"/>
          <w:szCs w:val="24"/>
        </w:rPr>
        <w:t xml:space="preserve"> w sez</w:t>
      </w:r>
      <w:r>
        <w:rPr>
          <w:rFonts w:ascii="Times New Roman" w:hAnsi="Times New Roman"/>
          <w:sz w:val="24"/>
          <w:szCs w:val="24"/>
        </w:rPr>
        <w:t>onie wiosna/lato 2020, ale nie mogli ze względu na pandemię COVID-19;</w:t>
      </w:r>
    </w:p>
    <w:p w14:paraId="513736BF" w14:textId="54249D40" w:rsidR="009D29AB" w:rsidRPr="009D29AB" w:rsidRDefault="009D29AB" w:rsidP="009D29AB">
      <w:pPr>
        <w:numPr>
          <w:ilvl w:val="0"/>
          <w:numId w:val="18"/>
        </w:numPr>
        <w:ind w:left="714" w:hanging="357"/>
        <w:jc w:val="both"/>
        <w:rPr>
          <w:rFonts w:ascii="Times New Roman" w:eastAsia="Times New Roman" w:hAnsi="Times New Roman" w:cs="Times New Roman"/>
          <w:sz w:val="24"/>
          <w:szCs w:val="24"/>
        </w:rPr>
      </w:pPr>
      <w:r>
        <w:rPr>
          <w:rFonts w:ascii="Times New Roman" w:hAnsi="Times New Roman"/>
          <w:i/>
          <w:sz w:val="24"/>
          <w:szCs w:val="24"/>
        </w:rPr>
        <w:t>wsparcie na cele szkoleń związanych</w:t>
      </w:r>
      <w:r w:rsidR="00A467B6">
        <w:rPr>
          <w:rFonts w:ascii="Times New Roman" w:hAnsi="Times New Roman"/>
          <w:i/>
          <w:sz w:val="24"/>
          <w:szCs w:val="24"/>
        </w:rPr>
        <w:t xml:space="preserve"> z zat</w:t>
      </w:r>
      <w:r>
        <w:rPr>
          <w:rFonts w:ascii="Times New Roman" w:hAnsi="Times New Roman"/>
          <w:i/>
          <w:sz w:val="24"/>
          <w:szCs w:val="24"/>
        </w:rPr>
        <w:t>rudnieniem</w:t>
      </w:r>
      <w:r w:rsidR="00A467B6">
        <w:rPr>
          <w:rFonts w:ascii="Times New Roman" w:hAnsi="Times New Roman"/>
          <w:i/>
          <w:sz w:val="24"/>
          <w:szCs w:val="24"/>
        </w:rPr>
        <w:t xml:space="preserve"> w zmn</w:t>
      </w:r>
      <w:r>
        <w:rPr>
          <w:rFonts w:ascii="Times New Roman" w:hAnsi="Times New Roman"/>
          <w:i/>
          <w:sz w:val="24"/>
          <w:szCs w:val="24"/>
        </w:rPr>
        <w:t>iejszonym wymiarze czasu pracy</w:t>
      </w:r>
      <w:r>
        <w:rPr>
          <w:rFonts w:ascii="Times New Roman" w:hAnsi="Times New Roman"/>
          <w:sz w:val="24"/>
          <w:szCs w:val="24"/>
        </w:rPr>
        <w:t xml:space="preserve"> (Belgia, Portugalia)</w:t>
      </w:r>
      <w:r w:rsidR="00A467B6">
        <w:rPr>
          <w:rFonts w:ascii="Times New Roman" w:hAnsi="Times New Roman"/>
          <w:sz w:val="24"/>
          <w:szCs w:val="24"/>
        </w:rPr>
        <w:t>. W ram</w:t>
      </w:r>
      <w:r>
        <w:rPr>
          <w:rFonts w:ascii="Times New Roman" w:hAnsi="Times New Roman"/>
          <w:sz w:val="24"/>
          <w:szCs w:val="24"/>
        </w:rPr>
        <w:t>ach tego rodzaju wsparcia promuje się szkolenia zawodowe dla pracowników zatrudnionych</w:t>
      </w:r>
      <w:r w:rsidR="00A467B6">
        <w:rPr>
          <w:rFonts w:ascii="Times New Roman" w:hAnsi="Times New Roman"/>
          <w:sz w:val="24"/>
          <w:szCs w:val="24"/>
        </w:rPr>
        <w:t xml:space="preserve"> w zmn</w:t>
      </w:r>
      <w:r>
        <w:rPr>
          <w:rFonts w:ascii="Times New Roman" w:hAnsi="Times New Roman"/>
          <w:sz w:val="24"/>
          <w:szCs w:val="24"/>
        </w:rPr>
        <w:t>iejszonym wymiarze czasu pracy.</w:t>
      </w:r>
    </w:p>
    <w:p w14:paraId="4E3C1A26" w14:textId="02319F28"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Dziewięć państw członkowskich wystąpiło</w:t>
      </w:r>
      <w:r w:rsidR="00A467B6">
        <w:rPr>
          <w:rFonts w:ascii="Times New Roman" w:hAnsi="Times New Roman"/>
          <w:b/>
          <w:sz w:val="24"/>
          <w:szCs w:val="24"/>
        </w:rPr>
        <w:t xml:space="preserve"> o pom</w:t>
      </w:r>
      <w:r>
        <w:rPr>
          <w:rFonts w:ascii="Times New Roman" w:hAnsi="Times New Roman"/>
          <w:b/>
          <w:sz w:val="24"/>
          <w:szCs w:val="24"/>
        </w:rPr>
        <w:t>oc finansową</w:t>
      </w:r>
      <w:r w:rsidR="00A467B6">
        <w:rPr>
          <w:rFonts w:ascii="Times New Roman" w:hAnsi="Times New Roman"/>
          <w:b/>
          <w:sz w:val="24"/>
          <w:szCs w:val="24"/>
        </w:rPr>
        <w:t xml:space="preserve"> w ram</w:t>
      </w:r>
      <w:r>
        <w:rPr>
          <w:rFonts w:ascii="Times New Roman" w:hAnsi="Times New Roman"/>
          <w:b/>
          <w:sz w:val="24"/>
          <w:szCs w:val="24"/>
        </w:rPr>
        <w:t>ach SURE na pokrycie wydatków na ochronę zdrowia związanych bezpośrednio</w:t>
      </w:r>
      <w:r w:rsidR="00A467B6">
        <w:rPr>
          <w:rFonts w:ascii="Times New Roman" w:hAnsi="Times New Roman"/>
          <w:b/>
          <w:sz w:val="24"/>
          <w:szCs w:val="24"/>
        </w:rPr>
        <w:t xml:space="preserve"> z syt</w:t>
      </w:r>
      <w:r>
        <w:rPr>
          <w:rFonts w:ascii="Times New Roman" w:hAnsi="Times New Roman"/>
          <w:b/>
          <w:sz w:val="24"/>
          <w:szCs w:val="24"/>
        </w:rPr>
        <w:t>uacją nadzwyczajną wynikającą z COVID-19.</w:t>
      </w:r>
      <w:r>
        <w:rPr>
          <w:rFonts w:ascii="Times New Roman" w:hAnsi="Times New Roman"/>
          <w:sz w:val="24"/>
          <w:szCs w:val="24"/>
        </w:rPr>
        <w:t xml:space="preserve"> Kategoria ta obejmuje:</w:t>
      </w:r>
    </w:p>
    <w:p w14:paraId="72C3F8B2" w14:textId="64A26036"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specjalne zwolnienie chorobowe związane z COVID-19 lub zwolnienie</w:t>
      </w:r>
      <w:r w:rsidR="00A467B6">
        <w:rPr>
          <w:rFonts w:ascii="Times New Roman" w:hAnsi="Times New Roman"/>
          <w:sz w:val="24"/>
          <w:szCs w:val="24"/>
        </w:rPr>
        <w:t xml:space="preserve"> z tyt</w:t>
      </w:r>
      <w:r>
        <w:rPr>
          <w:rFonts w:ascii="Times New Roman" w:hAnsi="Times New Roman"/>
          <w:sz w:val="24"/>
          <w:szCs w:val="24"/>
        </w:rPr>
        <w:t xml:space="preserve">ułu kwarantanny (Cypr, Łotwa, Malta, Portugalia, Hiszpania); </w:t>
      </w:r>
    </w:p>
    <w:p w14:paraId="6328BD26" w14:textId="385A9BD4"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koszty związane</w:t>
      </w:r>
      <w:r w:rsidR="00A467B6">
        <w:rPr>
          <w:rFonts w:ascii="Times New Roman" w:hAnsi="Times New Roman"/>
          <w:sz w:val="24"/>
          <w:szCs w:val="24"/>
        </w:rPr>
        <w:t xml:space="preserve"> z wyż</w:t>
      </w:r>
      <w:r>
        <w:rPr>
          <w:rFonts w:ascii="Times New Roman" w:hAnsi="Times New Roman"/>
          <w:sz w:val="24"/>
          <w:szCs w:val="24"/>
        </w:rPr>
        <w:t>szymi wymaganiami</w:t>
      </w:r>
      <w:r w:rsidR="00A467B6">
        <w:rPr>
          <w:rFonts w:ascii="Times New Roman" w:hAnsi="Times New Roman"/>
          <w:sz w:val="24"/>
          <w:szCs w:val="24"/>
        </w:rPr>
        <w:t xml:space="preserve"> w zak</w:t>
      </w:r>
      <w:r>
        <w:rPr>
          <w:rFonts w:ascii="Times New Roman" w:hAnsi="Times New Roman"/>
          <w:sz w:val="24"/>
          <w:szCs w:val="24"/>
        </w:rPr>
        <w:t>resie zdrowia</w:t>
      </w:r>
      <w:r w:rsidR="00A467B6">
        <w:rPr>
          <w:rFonts w:ascii="Times New Roman" w:hAnsi="Times New Roman"/>
          <w:sz w:val="24"/>
          <w:szCs w:val="24"/>
        </w:rPr>
        <w:t xml:space="preserve"> i bez</w:t>
      </w:r>
      <w:r>
        <w:rPr>
          <w:rFonts w:ascii="Times New Roman" w:hAnsi="Times New Roman"/>
          <w:sz w:val="24"/>
          <w:szCs w:val="24"/>
        </w:rPr>
        <w:t>pieczeństwa dotyczącymi sektora publicznego (Łotwa, Węgry, Portugalia);</w:t>
      </w:r>
    </w:p>
    <w:p w14:paraId="2CED37A4" w14:textId="72C93C67"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środki służące obniżeniu ponoszonych przez sektor prywatny kosztów dostosowania się do surowszych wymogów sanitarnych</w:t>
      </w:r>
      <w:r w:rsidR="00A467B6">
        <w:rPr>
          <w:rFonts w:ascii="Times New Roman" w:hAnsi="Times New Roman"/>
          <w:sz w:val="24"/>
          <w:szCs w:val="24"/>
        </w:rPr>
        <w:t xml:space="preserve"> w zak</w:t>
      </w:r>
      <w:r>
        <w:rPr>
          <w:rFonts w:ascii="Times New Roman" w:hAnsi="Times New Roman"/>
          <w:sz w:val="24"/>
          <w:szCs w:val="24"/>
        </w:rPr>
        <w:t>resie zdrowia</w:t>
      </w:r>
      <w:r w:rsidR="00A467B6">
        <w:rPr>
          <w:rFonts w:ascii="Times New Roman" w:hAnsi="Times New Roman"/>
          <w:sz w:val="24"/>
          <w:szCs w:val="24"/>
        </w:rPr>
        <w:t xml:space="preserve"> i bez</w:t>
      </w:r>
      <w:r>
        <w:rPr>
          <w:rFonts w:ascii="Times New Roman" w:hAnsi="Times New Roman"/>
          <w:sz w:val="24"/>
          <w:szCs w:val="24"/>
        </w:rPr>
        <w:t>pieczeństwa</w:t>
      </w:r>
      <w:r w:rsidR="00A467B6">
        <w:rPr>
          <w:rFonts w:ascii="Times New Roman" w:hAnsi="Times New Roman"/>
          <w:sz w:val="24"/>
          <w:szCs w:val="24"/>
        </w:rPr>
        <w:t xml:space="preserve"> w mie</w:t>
      </w:r>
      <w:r>
        <w:rPr>
          <w:rFonts w:ascii="Times New Roman" w:hAnsi="Times New Roman"/>
          <w:sz w:val="24"/>
          <w:szCs w:val="24"/>
        </w:rPr>
        <w:t>jscu pracy (Włochy);</w:t>
      </w:r>
    </w:p>
    <w:p w14:paraId="237C6A71" w14:textId="7699C923" w:rsidR="009D29AB" w:rsidRPr="009D29AB" w:rsidRDefault="009D29AB" w:rsidP="009D29AB">
      <w:pPr>
        <w:numPr>
          <w:ilvl w:val="0"/>
          <w:numId w:val="18"/>
        </w:numPr>
        <w:spacing w:after="80"/>
        <w:ind w:left="714" w:hanging="357"/>
        <w:jc w:val="both"/>
        <w:rPr>
          <w:rFonts w:ascii="Times New Roman" w:eastAsia="Times New Roman" w:hAnsi="Times New Roman" w:cs="Times New Roman"/>
          <w:sz w:val="24"/>
          <w:szCs w:val="24"/>
        </w:rPr>
      </w:pPr>
      <w:r>
        <w:rPr>
          <w:rFonts w:ascii="Times New Roman" w:hAnsi="Times New Roman"/>
          <w:sz w:val="24"/>
          <w:szCs w:val="24"/>
        </w:rPr>
        <w:t>wyższe wydatki na publiczny system opieki zdrowotnej,</w:t>
      </w:r>
      <w:r w:rsidR="00A467B6">
        <w:rPr>
          <w:rFonts w:ascii="Times New Roman" w:hAnsi="Times New Roman"/>
          <w:sz w:val="24"/>
          <w:szCs w:val="24"/>
        </w:rPr>
        <w:t xml:space="preserve"> w tym</w:t>
      </w:r>
      <w:r>
        <w:rPr>
          <w:rFonts w:ascii="Times New Roman" w:hAnsi="Times New Roman"/>
          <w:sz w:val="24"/>
          <w:szCs w:val="24"/>
        </w:rPr>
        <w:t xml:space="preserve"> koszty personelu (np. godziny nadliczbowe</w:t>
      </w:r>
      <w:r w:rsidR="00A467B6">
        <w:rPr>
          <w:rFonts w:ascii="Times New Roman" w:hAnsi="Times New Roman"/>
          <w:sz w:val="24"/>
          <w:szCs w:val="24"/>
        </w:rPr>
        <w:t xml:space="preserve"> i dod</w:t>
      </w:r>
      <w:r>
        <w:rPr>
          <w:rFonts w:ascii="Times New Roman" w:hAnsi="Times New Roman"/>
          <w:sz w:val="24"/>
          <w:szCs w:val="24"/>
        </w:rPr>
        <w:t>atkowe wynagrodzenie dla personelu medycznego, zatrudnienie dodatkowych pracowników tymczasowych (Węgry, Rumunia, Portugalia), prace renowacyjne</w:t>
      </w:r>
      <w:r w:rsidR="00A467B6">
        <w:rPr>
          <w:rFonts w:ascii="Times New Roman" w:hAnsi="Times New Roman"/>
          <w:sz w:val="24"/>
          <w:szCs w:val="24"/>
        </w:rPr>
        <w:t xml:space="preserve"> w szp</w:t>
      </w:r>
      <w:r>
        <w:rPr>
          <w:rFonts w:ascii="Times New Roman" w:hAnsi="Times New Roman"/>
          <w:sz w:val="24"/>
          <w:szCs w:val="24"/>
        </w:rPr>
        <w:t>italach (Węgry) lub nabycie dodatkowego sprzętu, materiałów ochronnych, środków medycznych</w:t>
      </w:r>
      <w:r w:rsidR="00A467B6">
        <w:rPr>
          <w:rFonts w:ascii="Times New Roman" w:hAnsi="Times New Roman"/>
          <w:sz w:val="24"/>
          <w:szCs w:val="24"/>
        </w:rPr>
        <w:t xml:space="preserve"> i mat</w:t>
      </w:r>
      <w:r>
        <w:rPr>
          <w:rFonts w:ascii="Times New Roman" w:hAnsi="Times New Roman"/>
          <w:sz w:val="24"/>
          <w:szCs w:val="24"/>
        </w:rPr>
        <w:t xml:space="preserve">eriałów zużywalnych (Belgia, Węgry, Łotwa, Portugalia). </w:t>
      </w:r>
    </w:p>
    <w:p w14:paraId="770C3F0C" w14:textId="77777777" w:rsidR="009D29AB" w:rsidRPr="000C43EC" w:rsidRDefault="009D29AB" w:rsidP="009D29AB">
      <w:pPr>
        <w:jc w:val="both"/>
        <w:rPr>
          <w:rFonts w:ascii="Times New Roman" w:hAnsi="Times New Roman" w:cs="Times New Roman"/>
          <w:sz w:val="24"/>
          <w:szCs w:val="24"/>
        </w:rPr>
      </w:pPr>
    </w:p>
    <w:p w14:paraId="2BDBB2EF" w14:textId="77777777" w:rsidR="009D29AB" w:rsidRPr="009D29AB" w:rsidRDefault="009D29AB" w:rsidP="009D29AB">
      <w:pPr>
        <w:rPr>
          <w:rFonts w:ascii="Times New Roman" w:hAnsi="Times New Roman" w:cs="Times New Roman"/>
          <w:b/>
          <w:sz w:val="24"/>
          <w:szCs w:val="24"/>
        </w:rPr>
      </w:pPr>
      <w:r>
        <w:br w:type="page"/>
      </w:r>
    </w:p>
    <w:p w14:paraId="266C532B" w14:textId="2E4B151A" w:rsidR="009D29AB" w:rsidRPr="00832B23" w:rsidRDefault="009D29AB" w:rsidP="00832B23">
      <w:pPr>
        <w:spacing w:after="0"/>
        <w:rPr>
          <w:rFonts w:ascii="Times New Roman" w:hAnsi="Times New Roman" w:cs="Times New Roman"/>
          <w:b/>
          <w:color w:val="000000" w:themeColor="text1"/>
          <w:sz w:val="24"/>
        </w:rPr>
      </w:pPr>
      <w:r>
        <w:rPr>
          <w:rFonts w:ascii="Times New Roman" w:hAnsi="Times New Roman"/>
          <w:b/>
          <w:color w:val="000000" w:themeColor="text1"/>
          <w:sz w:val="24"/>
        </w:rPr>
        <w:t>Tabela 6 – Cechy charakterystyczne krajowych mechanizmów zmniejszonego wymiaru czasu pracy objętych wsparciem</w:t>
      </w:r>
      <w:r w:rsidR="00A467B6">
        <w:rPr>
          <w:rFonts w:ascii="Times New Roman" w:hAnsi="Times New Roman"/>
          <w:b/>
          <w:color w:val="000000" w:themeColor="text1"/>
          <w:sz w:val="24"/>
        </w:rPr>
        <w:t xml:space="preserve"> w ram</w:t>
      </w:r>
      <w:r>
        <w:rPr>
          <w:rFonts w:ascii="Times New Roman" w:hAnsi="Times New Roman"/>
          <w:b/>
          <w:color w:val="000000" w:themeColor="text1"/>
          <w:sz w:val="24"/>
        </w:rPr>
        <w:t>ach SURE</w:t>
      </w:r>
    </w:p>
    <w:tbl>
      <w:tblPr>
        <w:tblW w:w="501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65"/>
        <w:gridCol w:w="1206"/>
        <w:gridCol w:w="1781"/>
        <w:gridCol w:w="2012"/>
        <w:gridCol w:w="1712"/>
        <w:gridCol w:w="1531"/>
      </w:tblGrid>
      <w:tr w:rsidR="009D29AB" w:rsidRPr="009D29AB" w14:paraId="1D737F62" w14:textId="77777777" w:rsidTr="005E26A2">
        <w:trPr>
          <w:trHeight w:val="677"/>
          <w:jc w:val="center"/>
        </w:trPr>
        <w:tc>
          <w:tcPr>
            <w:tcW w:w="710" w:type="pct"/>
            <w:shd w:val="clear" w:color="auto" w:fill="auto"/>
            <w:noWrap/>
            <w:vAlign w:val="center"/>
            <w:hideMark/>
          </w:tcPr>
          <w:p w14:paraId="24BF520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b/>
                <w:color w:val="000000" w:themeColor="text1"/>
                <w:sz w:val="20"/>
                <w:szCs w:val="20"/>
              </w:rPr>
              <w:t>Państwo członkowskie</w:t>
            </w:r>
          </w:p>
        </w:tc>
        <w:tc>
          <w:tcPr>
            <w:tcW w:w="627" w:type="pct"/>
            <w:shd w:val="clear" w:color="auto" w:fill="auto"/>
            <w:vAlign w:val="center"/>
          </w:tcPr>
          <w:p w14:paraId="5ABA4289"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Nowy</w:t>
            </w:r>
          </w:p>
          <w:p w14:paraId="36976EDE"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mechanizm</w:t>
            </w:r>
          </w:p>
        </w:tc>
        <w:tc>
          <w:tcPr>
            <w:tcW w:w="927" w:type="pct"/>
            <w:shd w:val="clear" w:color="auto" w:fill="auto"/>
            <w:vAlign w:val="center"/>
          </w:tcPr>
          <w:p w14:paraId="6A85001B"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Mechanizm stały/tymczasowy</w:t>
            </w:r>
          </w:p>
        </w:tc>
        <w:tc>
          <w:tcPr>
            <w:tcW w:w="1047" w:type="pct"/>
            <w:shd w:val="clear" w:color="auto" w:fill="auto"/>
            <w:vAlign w:val="center"/>
          </w:tcPr>
          <w:p w14:paraId="0B61F443" w14:textId="02900A15"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 xml:space="preserve">Kwota wsparcia </w:t>
            </w:r>
            <w:r w:rsidR="005E26A2">
              <w:rPr>
                <w:rFonts w:ascii="Times New Roman" w:hAnsi="Times New Roman"/>
                <w:b/>
                <w:color w:val="000000" w:themeColor="text1"/>
                <w:sz w:val="20"/>
                <w:szCs w:val="20"/>
              </w:rPr>
              <w:br/>
            </w:r>
            <w:r>
              <w:rPr>
                <w:rFonts w:ascii="Times New Roman" w:hAnsi="Times New Roman"/>
                <w:b/>
                <w:color w:val="000000" w:themeColor="text1"/>
                <w:sz w:val="20"/>
                <w:szCs w:val="20"/>
              </w:rPr>
              <w:t>(% wynagrodzenia)</w:t>
            </w:r>
          </w:p>
        </w:tc>
        <w:tc>
          <w:tcPr>
            <w:tcW w:w="891" w:type="pct"/>
            <w:shd w:val="clear" w:color="auto" w:fill="auto"/>
            <w:vAlign w:val="center"/>
          </w:tcPr>
          <w:p w14:paraId="47E469C2"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Koszty dla pracodawcy</w:t>
            </w:r>
          </w:p>
        </w:tc>
        <w:tc>
          <w:tcPr>
            <w:tcW w:w="797" w:type="pct"/>
            <w:shd w:val="clear" w:color="auto" w:fill="auto"/>
            <w:vAlign w:val="center"/>
          </w:tcPr>
          <w:p w14:paraId="20BA12E4" w14:textId="77777777" w:rsidR="009D29AB" w:rsidRPr="009D29AB" w:rsidRDefault="009D29AB" w:rsidP="009D29AB">
            <w:pPr>
              <w:spacing w:after="0"/>
              <w:jc w:val="center"/>
              <w:rPr>
                <w:rFonts w:ascii="Times New Roman" w:hAnsi="Times New Roman" w:cs="Times New Roman"/>
                <w:b/>
                <w:color w:val="000000" w:themeColor="text1"/>
                <w:sz w:val="20"/>
                <w:szCs w:val="20"/>
              </w:rPr>
            </w:pPr>
            <w:r>
              <w:rPr>
                <w:rFonts w:ascii="Times New Roman" w:hAnsi="Times New Roman"/>
                <w:b/>
                <w:color w:val="000000" w:themeColor="text1"/>
                <w:sz w:val="20"/>
                <w:szCs w:val="20"/>
              </w:rPr>
              <w:t>Ograniczenie wymiaru czasu pracy</w:t>
            </w:r>
          </w:p>
        </w:tc>
      </w:tr>
      <w:tr w:rsidR="009D29AB" w:rsidRPr="009D29AB" w14:paraId="5C14B17D" w14:textId="77777777" w:rsidTr="005E26A2">
        <w:trPr>
          <w:trHeight w:hRule="exact" w:val="781"/>
          <w:jc w:val="center"/>
        </w:trPr>
        <w:tc>
          <w:tcPr>
            <w:tcW w:w="710" w:type="pct"/>
            <w:shd w:val="clear" w:color="auto" w:fill="auto"/>
            <w:noWrap/>
            <w:vAlign w:val="center"/>
            <w:hideMark/>
          </w:tcPr>
          <w:p w14:paraId="72EAA22C"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BE</w:t>
            </w:r>
          </w:p>
        </w:tc>
        <w:tc>
          <w:tcPr>
            <w:tcW w:w="627" w:type="pct"/>
            <w:vAlign w:val="center"/>
          </w:tcPr>
          <w:p w14:paraId="2E5C6E7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927" w:type="pct"/>
            <w:vAlign w:val="center"/>
          </w:tcPr>
          <w:p w14:paraId="2B05B3A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Stały (z tymczasowymi modyfikacjami)</w:t>
            </w:r>
          </w:p>
        </w:tc>
        <w:tc>
          <w:tcPr>
            <w:tcW w:w="1047" w:type="pct"/>
            <w:vAlign w:val="center"/>
          </w:tcPr>
          <w:p w14:paraId="14C9D5E7" w14:textId="48DDA4F8"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1E1FB6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41A117A3" w14:textId="1D4EF8D8"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7140F0B6" w14:textId="77777777" w:rsidTr="005E26A2">
        <w:trPr>
          <w:trHeight w:hRule="exact" w:val="568"/>
          <w:jc w:val="center"/>
        </w:trPr>
        <w:tc>
          <w:tcPr>
            <w:tcW w:w="710" w:type="pct"/>
            <w:shd w:val="clear" w:color="auto" w:fill="auto"/>
            <w:noWrap/>
            <w:vAlign w:val="center"/>
            <w:hideMark/>
          </w:tcPr>
          <w:p w14:paraId="20E9EA1E"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BG</w:t>
            </w:r>
          </w:p>
        </w:tc>
        <w:tc>
          <w:tcPr>
            <w:tcW w:w="627" w:type="pct"/>
            <w:vAlign w:val="center"/>
          </w:tcPr>
          <w:p w14:paraId="48C7555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2221DF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088D8C25" w14:textId="03E6F250"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39461AB1" w14:textId="3CE3EA0C"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4</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r>
              <w:rPr>
                <w:rFonts w:ascii="Times New Roman" w:hAnsi="Times New Roman"/>
                <w:color w:val="000000" w:themeColor="text1"/>
                <w:sz w:val="20"/>
                <w:szCs w:val="20"/>
              </w:rPr>
              <w:t xml:space="preserve"> kosztów pracy</w:t>
            </w:r>
          </w:p>
        </w:tc>
        <w:tc>
          <w:tcPr>
            <w:tcW w:w="797" w:type="pct"/>
            <w:vAlign w:val="center"/>
          </w:tcPr>
          <w:p w14:paraId="517ADB6E" w14:textId="1A8BF81D"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r w:rsidRPr="00A467B6">
              <w:rPr>
                <w:rFonts w:ascii="Times New Roman" w:hAnsi="Times New Roman"/>
                <w:color w:val="000000" w:themeColor="text1"/>
                <w:sz w:val="20"/>
                <w:szCs w:val="20"/>
              </w:rPr>
              <w:t>lub</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1</w:t>
            </w:r>
            <w:r>
              <w:rPr>
                <w:rFonts w:ascii="Times New Roman" w:hAnsi="Times New Roman"/>
                <w:color w:val="000000" w:themeColor="text1"/>
                <w:sz w:val="20"/>
                <w:szCs w:val="20"/>
              </w:rPr>
              <w:t>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3BCA28AA" w14:textId="77777777" w:rsidTr="005E26A2">
        <w:trPr>
          <w:trHeight w:hRule="exact" w:val="576"/>
          <w:jc w:val="center"/>
        </w:trPr>
        <w:tc>
          <w:tcPr>
            <w:tcW w:w="710" w:type="pct"/>
            <w:shd w:val="clear" w:color="auto" w:fill="auto"/>
            <w:noWrap/>
            <w:vAlign w:val="center"/>
            <w:hideMark/>
          </w:tcPr>
          <w:p w14:paraId="635F699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CZ</w:t>
            </w:r>
          </w:p>
        </w:tc>
        <w:tc>
          <w:tcPr>
            <w:tcW w:w="627" w:type="pct"/>
            <w:vAlign w:val="center"/>
          </w:tcPr>
          <w:p w14:paraId="5E624F8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7C918BB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76A9C29E" w14:textId="325FA696"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60–8</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699C3130" w14:textId="3614D655"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20–4</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r>
              <w:rPr>
                <w:rFonts w:ascii="Times New Roman" w:hAnsi="Times New Roman"/>
                <w:color w:val="000000" w:themeColor="text1"/>
                <w:sz w:val="20"/>
                <w:szCs w:val="20"/>
              </w:rPr>
              <w:t xml:space="preserve"> świadczenia</w:t>
            </w:r>
          </w:p>
        </w:tc>
        <w:tc>
          <w:tcPr>
            <w:tcW w:w="797" w:type="pct"/>
            <w:vAlign w:val="center"/>
          </w:tcPr>
          <w:p w14:paraId="28180024" w14:textId="4228E77B"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2E451D65" w14:textId="77777777" w:rsidTr="005E26A2">
        <w:trPr>
          <w:trHeight w:hRule="exact" w:val="279"/>
          <w:jc w:val="center"/>
        </w:trPr>
        <w:tc>
          <w:tcPr>
            <w:tcW w:w="710" w:type="pct"/>
            <w:shd w:val="clear" w:color="auto" w:fill="auto"/>
            <w:noWrap/>
            <w:vAlign w:val="center"/>
            <w:hideMark/>
          </w:tcPr>
          <w:p w14:paraId="5586D574"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IE</w:t>
            </w:r>
          </w:p>
        </w:tc>
        <w:tc>
          <w:tcPr>
            <w:tcW w:w="627" w:type="pct"/>
            <w:vAlign w:val="center"/>
          </w:tcPr>
          <w:p w14:paraId="30B798D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927" w:type="pct"/>
            <w:vAlign w:val="center"/>
          </w:tcPr>
          <w:p w14:paraId="0E7001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047" w:type="pct"/>
            <w:vAlign w:val="center"/>
          </w:tcPr>
          <w:p w14:paraId="7A085CF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91" w:type="pct"/>
            <w:vAlign w:val="center"/>
          </w:tcPr>
          <w:p w14:paraId="2DE3295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7EB62F6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FBC4235" w14:textId="77777777" w:rsidTr="005E26A2">
        <w:trPr>
          <w:trHeight w:hRule="exact" w:val="279"/>
          <w:jc w:val="center"/>
        </w:trPr>
        <w:tc>
          <w:tcPr>
            <w:tcW w:w="710" w:type="pct"/>
            <w:shd w:val="clear" w:color="auto" w:fill="auto"/>
            <w:noWrap/>
            <w:vAlign w:val="center"/>
            <w:hideMark/>
          </w:tcPr>
          <w:p w14:paraId="2C856E2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EL</w:t>
            </w:r>
          </w:p>
        </w:tc>
        <w:tc>
          <w:tcPr>
            <w:tcW w:w="627" w:type="pct"/>
            <w:vAlign w:val="center"/>
          </w:tcPr>
          <w:p w14:paraId="15DFAC6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40E6BEC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6F3157FE" w14:textId="189424D2"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53098F9A"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30D6E92D" w14:textId="3B8E5653"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r w:rsidRPr="00A467B6">
              <w:rPr>
                <w:rFonts w:ascii="Times New Roman" w:hAnsi="Times New Roman"/>
                <w:color w:val="000000" w:themeColor="text1"/>
                <w:sz w:val="20"/>
                <w:szCs w:val="20"/>
              </w:rPr>
              <w:t>lub</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1</w:t>
            </w:r>
            <w:r>
              <w:rPr>
                <w:rFonts w:ascii="Times New Roman" w:hAnsi="Times New Roman"/>
                <w:color w:val="000000" w:themeColor="text1"/>
                <w:sz w:val="20"/>
                <w:szCs w:val="20"/>
              </w:rPr>
              <w:t>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185D4432" w14:textId="77777777" w:rsidTr="005E26A2">
        <w:trPr>
          <w:trHeight w:hRule="exact" w:val="844"/>
          <w:jc w:val="center"/>
        </w:trPr>
        <w:tc>
          <w:tcPr>
            <w:tcW w:w="710" w:type="pct"/>
            <w:shd w:val="clear" w:color="auto" w:fill="auto"/>
            <w:noWrap/>
            <w:vAlign w:val="center"/>
            <w:hideMark/>
          </w:tcPr>
          <w:p w14:paraId="3444C37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ES</w:t>
            </w:r>
          </w:p>
        </w:tc>
        <w:tc>
          <w:tcPr>
            <w:tcW w:w="627" w:type="pct"/>
            <w:vAlign w:val="center"/>
          </w:tcPr>
          <w:p w14:paraId="4D0ABE3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927" w:type="pct"/>
            <w:vAlign w:val="center"/>
          </w:tcPr>
          <w:p w14:paraId="3030EB2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Stały (z tymczasowymi modyfikacjami)</w:t>
            </w:r>
          </w:p>
        </w:tc>
        <w:tc>
          <w:tcPr>
            <w:tcW w:w="1047" w:type="pct"/>
            <w:vAlign w:val="center"/>
          </w:tcPr>
          <w:p w14:paraId="5FB8F09B" w14:textId="3472843A"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54F35D2C" w14:textId="55F9EF10"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r>
              <w:rPr>
                <w:rFonts w:ascii="Times New Roman" w:hAnsi="Times New Roman"/>
                <w:color w:val="000000" w:themeColor="text1"/>
                <w:sz w:val="20"/>
                <w:szCs w:val="20"/>
              </w:rPr>
              <w:t xml:space="preserve"> składek na ubezpieczenie społeczne</w:t>
            </w:r>
          </w:p>
        </w:tc>
        <w:tc>
          <w:tcPr>
            <w:tcW w:w="797" w:type="pct"/>
            <w:vAlign w:val="center"/>
          </w:tcPr>
          <w:p w14:paraId="174A4C49" w14:textId="0B9F57FF" w:rsidR="009D29AB" w:rsidRPr="009D29AB" w:rsidRDefault="009D29AB" w:rsidP="009D29AB">
            <w:pPr>
              <w:spacing w:after="0"/>
              <w:jc w:val="center"/>
              <w:rPr>
                <w:rFonts w:ascii="Times New Roman" w:hAnsi="Times New Roman" w:cs="Times New Roman"/>
                <w:color w:val="000000" w:themeColor="text1"/>
                <w:sz w:val="18"/>
                <w:szCs w:val="18"/>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6243F217" w14:textId="77777777" w:rsidTr="005E26A2">
        <w:trPr>
          <w:trHeight w:hRule="exact" w:val="279"/>
          <w:jc w:val="center"/>
        </w:trPr>
        <w:tc>
          <w:tcPr>
            <w:tcW w:w="710" w:type="pct"/>
            <w:shd w:val="clear" w:color="auto" w:fill="auto"/>
            <w:noWrap/>
            <w:vAlign w:val="center"/>
            <w:hideMark/>
          </w:tcPr>
          <w:p w14:paraId="4D0DE411"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HR</w:t>
            </w:r>
          </w:p>
        </w:tc>
        <w:tc>
          <w:tcPr>
            <w:tcW w:w="627" w:type="pct"/>
            <w:vAlign w:val="center"/>
          </w:tcPr>
          <w:p w14:paraId="28F338F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15DD3E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63C4438B" w14:textId="39ECE0D3"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7B601AD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30F280CC" w14:textId="10E6264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4ED7E91C" w14:textId="77777777" w:rsidTr="005E26A2">
        <w:trPr>
          <w:trHeight w:hRule="exact" w:val="718"/>
          <w:jc w:val="center"/>
        </w:trPr>
        <w:tc>
          <w:tcPr>
            <w:tcW w:w="710" w:type="pct"/>
            <w:shd w:val="clear" w:color="auto" w:fill="auto"/>
            <w:noWrap/>
            <w:vAlign w:val="center"/>
            <w:hideMark/>
          </w:tcPr>
          <w:p w14:paraId="63AB5058"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IT</w:t>
            </w:r>
          </w:p>
        </w:tc>
        <w:tc>
          <w:tcPr>
            <w:tcW w:w="627" w:type="pct"/>
            <w:vAlign w:val="center"/>
          </w:tcPr>
          <w:p w14:paraId="3E3620B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927" w:type="pct"/>
            <w:vAlign w:val="center"/>
          </w:tcPr>
          <w:p w14:paraId="3D915FF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Stały (z tymczasowymi modyfikacjami)</w:t>
            </w:r>
          </w:p>
        </w:tc>
        <w:tc>
          <w:tcPr>
            <w:tcW w:w="1047" w:type="pct"/>
            <w:vAlign w:val="center"/>
          </w:tcPr>
          <w:p w14:paraId="0D1BB158" w14:textId="70776E2B"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7A6F474B"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1A0F0FA5" w14:textId="5FC45DFC"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4EF36E8F" w14:textId="77777777" w:rsidTr="005E26A2">
        <w:trPr>
          <w:trHeight w:hRule="exact" w:val="279"/>
          <w:jc w:val="center"/>
        </w:trPr>
        <w:tc>
          <w:tcPr>
            <w:tcW w:w="710" w:type="pct"/>
            <w:shd w:val="clear" w:color="auto" w:fill="auto"/>
            <w:noWrap/>
            <w:vAlign w:val="center"/>
            <w:hideMark/>
          </w:tcPr>
          <w:p w14:paraId="4C16AB8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CY</w:t>
            </w:r>
          </w:p>
        </w:tc>
        <w:tc>
          <w:tcPr>
            <w:tcW w:w="627" w:type="pct"/>
            <w:vAlign w:val="center"/>
          </w:tcPr>
          <w:p w14:paraId="1CBFBB34"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027D8D3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259F29DC" w14:textId="0E77408F"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66159D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663D0B9D" w14:textId="300AA496"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3D2146F3" w14:textId="77777777" w:rsidTr="005E26A2">
        <w:trPr>
          <w:trHeight w:hRule="exact" w:val="279"/>
          <w:jc w:val="center"/>
        </w:trPr>
        <w:tc>
          <w:tcPr>
            <w:tcW w:w="710" w:type="pct"/>
            <w:shd w:val="clear" w:color="auto" w:fill="auto"/>
            <w:noWrap/>
            <w:vAlign w:val="center"/>
            <w:hideMark/>
          </w:tcPr>
          <w:p w14:paraId="6BE54CB2"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LV</w:t>
            </w:r>
          </w:p>
        </w:tc>
        <w:tc>
          <w:tcPr>
            <w:tcW w:w="627" w:type="pct"/>
            <w:vAlign w:val="center"/>
          </w:tcPr>
          <w:p w14:paraId="56BC465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0FE282CC"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7FC078C3" w14:textId="22F00C69"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50–7</w:t>
            </w:r>
            <w:r w:rsidRPr="00A467B6">
              <w:rPr>
                <w:rFonts w:ascii="Times New Roman" w:hAnsi="Times New Roman"/>
                <w:color w:val="000000" w:themeColor="text1"/>
                <w:sz w:val="20"/>
                <w:szCs w:val="20"/>
              </w:rPr>
              <w:t>5</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15E5DAF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2E0CD3AC" w14:textId="491A3AFE"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1FDF439A" w14:textId="77777777" w:rsidTr="005E26A2">
        <w:trPr>
          <w:trHeight w:hRule="exact" w:val="279"/>
          <w:jc w:val="center"/>
        </w:trPr>
        <w:tc>
          <w:tcPr>
            <w:tcW w:w="710" w:type="pct"/>
            <w:shd w:val="clear" w:color="auto" w:fill="auto"/>
            <w:noWrap/>
            <w:vAlign w:val="center"/>
            <w:hideMark/>
          </w:tcPr>
          <w:p w14:paraId="40ABAD79"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LT</w:t>
            </w:r>
          </w:p>
        </w:tc>
        <w:tc>
          <w:tcPr>
            <w:tcW w:w="627" w:type="pct"/>
            <w:vAlign w:val="center"/>
          </w:tcPr>
          <w:p w14:paraId="152AC29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2477E736"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26EDB99E" w14:textId="14902C62"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30–10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08F6A251" w14:textId="77777777" w:rsidR="009D29AB" w:rsidRPr="009D29AB" w:rsidRDefault="009D29AB" w:rsidP="009D29AB">
            <w:pPr>
              <w:spacing w:after="0"/>
              <w:jc w:val="center"/>
              <w:rPr>
                <w:rFonts w:ascii="Times New Roman" w:hAnsi="Times New Roman" w:cs="Times New Roman"/>
                <w:color w:val="000000" w:themeColor="text1"/>
                <w:sz w:val="20"/>
                <w:szCs w:val="20"/>
                <w:lang w:val="en-IE"/>
              </w:rPr>
            </w:pPr>
          </w:p>
        </w:tc>
        <w:tc>
          <w:tcPr>
            <w:tcW w:w="797" w:type="pct"/>
            <w:vAlign w:val="center"/>
          </w:tcPr>
          <w:p w14:paraId="78BDAE93" w14:textId="6D609F93"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6BBDDA1F" w14:textId="77777777" w:rsidTr="005E26A2">
        <w:trPr>
          <w:trHeight w:hRule="exact" w:val="279"/>
          <w:jc w:val="center"/>
        </w:trPr>
        <w:tc>
          <w:tcPr>
            <w:tcW w:w="710" w:type="pct"/>
            <w:shd w:val="clear" w:color="auto" w:fill="auto"/>
            <w:noWrap/>
            <w:vAlign w:val="center"/>
            <w:hideMark/>
          </w:tcPr>
          <w:p w14:paraId="53312AB5"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HU</w:t>
            </w:r>
          </w:p>
        </w:tc>
        <w:tc>
          <w:tcPr>
            <w:tcW w:w="627" w:type="pct"/>
            <w:vAlign w:val="center"/>
          </w:tcPr>
          <w:p w14:paraId="204051B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927" w:type="pct"/>
            <w:vAlign w:val="center"/>
          </w:tcPr>
          <w:p w14:paraId="5E8B01B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047" w:type="pct"/>
            <w:vAlign w:val="center"/>
          </w:tcPr>
          <w:p w14:paraId="15CE94F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91" w:type="pct"/>
            <w:vAlign w:val="center"/>
          </w:tcPr>
          <w:p w14:paraId="3135916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6F174BA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39F68CE9" w14:textId="77777777" w:rsidTr="005E26A2">
        <w:trPr>
          <w:trHeight w:hRule="exact" w:val="279"/>
          <w:jc w:val="center"/>
        </w:trPr>
        <w:tc>
          <w:tcPr>
            <w:tcW w:w="710" w:type="pct"/>
            <w:shd w:val="clear" w:color="auto" w:fill="auto"/>
            <w:noWrap/>
            <w:vAlign w:val="center"/>
            <w:hideMark/>
          </w:tcPr>
          <w:p w14:paraId="6D65C7BA"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MT</w:t>
            </w:r>
          </w:p>
        </w:tc>
        <w:tc>
          <w:tcPr>
            <w:tcW w:w="627" w:type="pct"/>
            <w:vAlign w:val="center"/>
          </w:tcPr>
          <w:p w14:paraId="74AC1D2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927" w:type="pct"/>
            <w:vAlign w:val="center"/>
          </w:tcPr>
          <w:p w14:paraId="09E69738"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1047" w:type="pct"/>
            <w:vAlign w:val="center"/>
          </w:tcPr>
          <w:p w14:paraId="6E43E82D"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891" w:type="pct"/>
            <w:vAlign w:val="center"/>
          </w:tcPr>
          <w:p w14:paraId="3E2F065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2D128149"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r>
      <w:tr w:rsidR="009D29AB" w:rsidRPr="009D29AB" w14:paraId="2233DA19" w14:textId="77777777" w:rsidTr="005E26A2">
        <w:trPr>
          <w:trHeight w:hRule="exact" w:val="279"/>
          <w:jc w:val="center"/>
        </w:trPr>
        <w:tc>
          <w:tcPr>
            <w:tcW w:w="710" w:type="pct"/>
            <w:shd w:val="clear" w:color="auto" w:fill="auto"/>
            <w:noWrap/>
            <w:vAlign w:val="center"/>
            <w:hideMark/>
          </w:tcPr>
          <w:p w14:paraId="428893BF"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PL</w:t>
            </w:r>
          </w:p>
        </w:tc>
        <w:tc>
          <w:tcPr>
            <w:tcW w:w="627" w:type="pct"/>
            <w:vAlign w:val="center"/>
          </w:tcPr>
          <w:p w14:paraId="0C98DCB5"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5F57C8D2"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45BFFB8D" w14:textId="7F2D84D0"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71223333"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481329B5" w14:textId="7A388EFA"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20–10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3635D07D" w14:textId="77777777" w:rsidTr="005E26A2">
        <w:trPr>
          <w:trHeight w:hRule="exact" w:val="738"/>
          <w:jc w:val="center"/>
        </w:trPr>
        <w:tc>
          <w:tcPr>
            <w:tcW w:w="710" w:type="pct"/>
            <w:shd w:val="clear" w:color="auto" w:fill="auto"/>
            <w:noWrap/>
            <w:vAlign w:val="center"/>
            <w:hideMark/>
          </w:tcPr>
          <w:p w14:paraId="3A42C6A7"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PT</w:t>
            </w:r>
          </w:p>
        </w:tc>
        <w:tc>
          <w:tcPr>
            <w:tcW w:w="627" w:type="pct"/>
            <w:vAlign w:val="center"/>
          </w:tcPr>
          <w:p w14:paraId="2ECBB8C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927" w:type="pct"/>
            <w:vAlign w:val="center"/>
          </w:tcPr>
          <w:p w14:paraId="587C8867"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Stały (z tymczasowymi modyfikacjami)</w:t>
            </w:r>
          </w:p>
        </w:tc>
        <w:tc>
          <w:tcPr>
            <w:tcW w:w="1047" w:type="pct"/>
            <w:vAlign w:val="center"/>
          </w:tcPr>
          <w:p w14:paraId="3C89B6A7" w14:textId="24390645"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66–10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0A30F957" w14:textId="64B10154"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0–3</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r>
              <w:rPr>
                <w:rFonts w:ascii="Times New Roman" w:hAnsi="Times New Roman"/>
                <w:color w:val="000000" w:themeColor="text1"/>
                <w:sz w:val="20"/>
                <w:szCs w:val="20"/>
              </w:rPr>
              <w:t xml:space="preserve"> świadczenia</w:t>
            </w:r>
          </w:p>
        </w:tc>
        <w:tc>
          <w:tcPr>
            <w:tcW w:w="797" w:type="pct"/>
            <w:vAlign w:val="center"/>
          </w:tcPr>
          <w:p w14:paraId="13DA3BD3" w14:textId="35DFCB88"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57FFAD59" w14:textId="77777777" w:rsidTr="005E26A2">
        <w:trPr>
          <w:trHeight w:hRule="exact" w:val="279"/>
          <w:jc w:val="center"/>
        </w:trPr>
        <w:tc>
          <w:tcPr>
            <w:tcW w:w="710" w:type="pct"/>
            <w:shd w:val="clear" w:color="auto" w:fill="auto"/>
            <w:noWrap/>
            <w:vAlign w:val="center"/>
            <w:hideMark/>
          </w:tcPr>
          <w:p w14:paraId="498C2626"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RO</w:t>
            </w:r>
          </w:p>
        </w:tc>
        <w:tc>
          <w:tcPr>
            <w:tcW w:w="627" w:type="pct"/>
            <w:vAlign w:val="center"/>
          </w:tcPr>
          <w:p w14:paraId="20A0585F"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426B02D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1E57B849" w14:textId="607189B2"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7</w:t>
            </w:r>
            <w:r w:rsidRPr="00A467B6">
              <w:rPr>
                <w:rFonts w:ascii="Times New Roman" w:hAnsi="Times New Roman"/>
                <w:color w:val="000000" w:themeColor="text1"/>
                <w:sz w:val="20"/>
                <w:szCs w:val="20"/>
              </w:rPr>
              <w:t>5</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2645906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55C09422" w14:textId="1875A7DE"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53698980" w14:textId="77777777" w:rsidTr="005E26A2">
        <w:trPr>
          <w:trHeight w:hRule="exact" w:val="541"/>
          <w:jc w:val="center"/>
        </w:trPr>
        <w:tc>
          <w:tcPr>
            <w:tcW w:w="710" w:type="pct"/>
            <w:shd w:val="clear" w:color="auto" w:fill="auto"/>
            <w:noWrap/>
            <w:vAlign w:val="center"/>
            <w:hideMark/>
          </w:tcPr>
          <w:p w14:paraId="06AA16BD"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SI</w:t>
            </w:r>
          </w:p>
        </w:tc>
        <w:tc>
          <w:tcPr>
            <w:tcW w:w="627" w:type="pct"/>
            <w:vAlign w:val="center"/>
          </w:tcPr>
          <w:p w14:paraId="4636F74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Tak</w:t>
            </w:r>
          </w:p>
        </w:tc>
        <w:tc>
          <w:tcPr>
            <w:tcW w:w="927" w:type="pct"/>
            <w:vAlign w:val="center"/>
          </w:tcPr>
          <w:p w14:paraId="45B81AA1"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w:t>
            </w:r>
          </w:p>
        </w:tc>
        <w:tc>
          <w:tcPr>
            <w:tcW w:w="1047" w:type="pct"/>
            <w:vAlign w:val="center"/>
          </w:tcPr>
          <w:p w14:paraId="42E27E29" w14:textId="76CCD978"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060EC569" w14:textId="74A3A2EE"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0–2</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r>
              <w:rPr>
                <w:rFonts w:ascii="Times New Roman" w:hAnsi="Times New Roman"/>
                <w:color w:val="000000" w:themeColor="text1"/>
                <w:sz w:val="20"/>
                <w:szCs w:val="20"/>
              </w:rPr>
              <w:t xml:space="preserve"> świadczenia</w:t>
            </w:r>
          </w:p>
        </w:tc>
        <w:tc>
          <w:tcPr>
            <w:tcW w:w="797" w:type="pct"/>
            <w:vAlign w:val="center"/>
          </w:tcPr>
          <w:p w14:paraId="7FB810CD" w14:textId="71F40FD1"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50–10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r w:rsidR="009D29AB" w:rsidRPr="009D29AB" w14:paraId="7E1BB50F" w14:textId="77777777" w:rsidTr="005E26A2">
        <w:trPr>
          <w:trHeight w:hRule="exact" w:val="732"/>
          <w:jc w:val="center"/>
        </w:trPr>
        <w:tc>
          <w:tcPr>
            <w:tcW w:w="710" w:type="pct"/>
            <w:shd w:val="clear" w:color="auto" w:fill="auto"/>
            <w:noWrap/>
            <w:vAlign w:val="center"/>
            <w:hideMark/>
          </w:tcPr>
          <w:p w14:paraId="12CCC540" w14:textId="77777777" w:rsidR="009D29AB" w:rsidRPr="009D29AB" w:rsidRDefault="009D29AB" w:rsidP="009D29AB">
            <w:pPr>
              <w:spacing w:after="0"/>
              <w:jc w:val="center"/>
              <w:rPr>
                <w:rFonts w:ascii="Times New Roman" w:hAnsi="Times New Roman" w:cs="Times New Roman"/>
                <w:sz w:val="20"/>
                <w:szCs w:val="20"/>
              </w:rPr>
            </w:pPr>
            <w:r>
              <w:rPr>
                <w:rFonts w:ascii="Times New Roman" w:hAnsi="Times New Roman"/>
                <w:sz w:val="20"/>
                <w:szCs w:val="20"/>
              </w:rPr>
              <w:t>SK</w:t>
            </w:r>
          </w:p>
        </w:tc>
        <w:tc>
          <w:tcPr>
            <w:tcW w:w="627" w:type="pct"/>
            <w:vAlign w:val="center"/>
          </w:tcPr>
          <w:p w14:paraId="54B7E23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Nie</w:t>
            </w:r>
          </w:p>
        </w:tc>
        <w:tc>
          <w:tcPr>
            <w:tcW w:w="927" w:type="pct"/>
            <w:vAlign w:val="center"/>
          </w:tcPr>
          <w:p w14:paraId="2D6F54FE"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Tymczasowy (ale regularnie odnawiany)</w:t>
            </w:r>
          </w:p>
        </w:tc>
        <w:tc>
          <w:tcPr>
            <w:tcW w:w="1047" w:type="pct"/>
            <w:vAlign w:val="center"/>
          </w:tcPr>
          <w:p w14:paraId="231C6067" w14:textId="63B49B38"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8</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c>
          <w:tcPr>
            <w:tcW w:w="891" w:type="pct"/>
            <w:vAlign w:val="center"/>
          </w:tcPr>
          <w:p w14:paraId="12AB17E0" w14:textId="77777777"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w:t>
            </w:r>
          </w:p>
        </w:tc>
        <w:tc>
          <w:tcPr>
            <w:tcW w:w="797" w:type="pct"/>
            <w:vAlign w:val="center"/>
          </w:tcPr>
          <w:p w14:paraId="48BFB8A7" w14:textId="5EB4A4CE" w:rsidR="009D29AB" w:rsidRPr="009D29AB" w:rsidRDefault="009D29AB" w:rsidP="009D29AB">
            <w:pPr>
              <w:spacing w:after="0"/>
              <w:jc w:val="center"/>
              <w:rPr>
                <w:rFonts w:ascii="Times New Roman" w:hAnsi="Times New Roman" w:cs="Times New Roman"/>
                <w:color w:val="000000" w:themeColor="text1"/>
                <w:sz w:val="20"/>
                <w:szCs w:val="20"/>
              </w:rPr>
            </w:pPr>
            <w:r>
              <w:rPr>
                <w:rFonts w:ascii="Times New Roman" w:hAnsi="Times New Roman"/>
                <w:color w:val="000000" w:themeColor="text1"/>
                <w:sz w:val="20"/>
                <w:szCs w:val="20"/>
              </w:rPr>
              <w:t>0–10</w:t>
            </w:r>
            <w:r w:rsidRPr="00A467B6">
              <w:rPr>
                <w:rFonts w:ascii="Times New Roman" w:hAnsi="Times New Roman"/>
                <w:color w:val="000000" w:themeColor="text1"/>
                <w:sz w:val="20"/>
                <w:szCs w:val="20"/>
              </w:rPr>
              <w:t>0</w:t>
            </w:r>
            <w:r w:rsidR="00A467B6" w:rsidRPr="00A467B6">
              <w:rPr>
                <w:rFonts w:ascii="Times New Roman" w:hAnsi="Times New Roman"/>
                <w:color w:val="000000" w:themeColor="text1"/>
                <w:sz w:val="20"/>
                <w:szCs w:val="20"/>
              </w:rPr>
              <w:t> </w:t>
            </w:r>
            <w:r w:rsidRPr="00A467B6">
              <w:rPr>
                <w:rFonts w:ascii="Times New Roman" w:hAnsi="Times New Roman"/>
                <w:color w:val="000000" w:themeColor="text1"/>
                <w:sz w:val="20"/>
                <w:szCs w:val="20"/>
              </w:rPr>
              <w:t>%</w:t>
            </w:r>
          </w:p>
        </w:tc>
      </w:tr>
    </w:tbl>
    <w:p w14:paraId="07FDEADA" w14:textId="77777777" w:rsidR="009D29AB" w:rsidRPr="009D29AB" w:rsidRDefault="009D29AB" w:rsidP="009D29AB">
      <w:pPr>
        <w:jc w:val="both"/>
        <w:rPr>
          <w:rFonts w:ascii="Times New Roman" w:hAnsi="Times New Roman" w:cs="Times New Roman"/>
          <w:sz w:val="24"/>
          <w:szCs w:val="24"/>
          <w:highlight w:val="yellow"/>
        </w:rPr>
      </w:pPr>
    </w:p>
    <w:p w14:paraId="33275DFA" w14:textId="77777777" w:rsidR="009D29AB" w:rsidRPr="009D29AB" w:rsidRDefault="009D29AB" w:rsidP="009D29AB">
      <w:pPr>
        <w:spacing w:before="120" w:after="60"/>
        <w:rPr>
          <w:rFonts w:ascii="Times New Roman" w:hAnsi="Times New Roman" w:cs="Times New Roman"/>
          <w:lang w:val="en-IE"/>
        </w:rPr>
      </w:pPr>
    </w:p>
    <w:p w14:paraId="084CFCD1" w14:textId="77777777"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Wstępna analiza wpływu SURE</w:t>
      </w:r>
    </w:p>
    <w:p w14:paraId="0C8B8BDC" w14:textId="4A5A660E"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W niniejszej sekcji przedstawiono wstępną analizę wpływu SURE na zatrudnienie</w:t>
      </w:r>
      <w:r w:rsidR="00A467B6">
        <w:rPr>
          <w:rFonts w:ascii="Times New Roman" w:hAnsi="Times New Roman"/>
          <w:color w:val="000000" w:themeColor="text1"/>
          <w:sz w:val="24"/>
          <w:szCs w:val="24"/>
        </w:rPr>
        <w:t xml:space="preserve"> i fin</w:t>
      </w:r>
      <w:r>
        <w:rPr>
          <w:rFonts w:ascii="Times New Roman" w:hAnsi="Times New Roman"/>
          <w:color w:val="000000" w:themeColor="text1"/>
          <w:sz w:val="24"/>
          <w:szCs w:val="24"/>
        </w:rPr>
        <w:t xml:space="preserve">anse publiczne oraz inne skutki instrumentu. </w:t>
      </w:r>
    </w:p>
    <w:p w14:paraId="608137A9" w14:textId="77777777" w:rsidR="009D29AB" w:rsidRPr="009D29AB" w:rsidRDefault="009D29AB" w:rsidP="00D61F7B">
      <w:pPr>
        <w:numPr>
          <w:ilvl w:val="1"/>
          <w:numId w:val="22"/>
        </w:numPr>
        <w:spacing w:before="120" w:after="120" w:line="240" w:lineRule="auto"/>
        <w:ind w:left="850" w:hanging="357"/>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Szacunkowy wpływ SURE na zatrudnienie</w:t>
      </w:r>
    </w:p>
    <w:p w14:paraId="584125D6" w14:textId="1D22A3D8"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Aby zapewnić pierwszą orientacyjną ocenę wpływu środków wsparcia realizacji polityki związanej</w:t>
      </w:r>
      <w:r w:rsidR="00A467B6">
        <w:rPr>
          <w:rFonts w:ascii="Times New Roman" w:hAnsi="Times New Roman"/>
          <w:b/>
          <w:color w:val="000000" w:themeColor="text1"/>
          <w:sz w:val="24"/>
          <w:szCs w:val="24"/>
        </w:rPr>
        <w:t xml:space="preserve"> z pan</w:t>
      </w:r>
      <w:r>
        <w:rPr>
          <w:rFonts w:ascii="Times New Roman" w:hAnsi="Times New Roman"/>
          <w:b/>
          <w:color w:val="000000" w:themeColor="text1"/>
          <w:sz w:val="24"/>
          <w:szCs w:val="24"/>
        </w:rPr>
        <w:t>demią,</w:t>
      </w:r>
      <w:r w:rsidR="00A467B6">
        <w:rPr>
          <w:rFonts w:ascii="Times New Roman" w:hAnsi="Times New Roman"/>
          <w:b/>
          <w:color w:val="000000" w:themeColor="text1"/>
          <w:sz w:val="24"/>
          <w:szCs w:val="24"/>
        </w:rPr>
        <w:t xml:space="preserve"> w tym</w:t>
      </w:r>
      <w:r>
        <w:rPr>
          <w:rFonts w:ascii="Times New Roman" w:hAnsi="Times New Roman"/>
          <w:b/>
          <w:color w:val="000000" w:themeColor="text1"/>
          <w:sz w:val="24"/>
          <w:szCs w:val="24"/>
        </w:rPr>
        <w:t xml:space="preserve"> SURE, analizuje się zmiany stóp bezrobocia</w:t>
      </w:r>
      <w:r w:rsidR="00A467B6">
        <w:rPr>
          <w:rFonts w:ascii="Times New Roman" w:hAnsi="Times New Roman"/>
          <w:b/>
          <w:color w:val="000000" w:themeColor="text1"/>
          <w:sz w:val="24"/>
          <w:szCs w:val="24"/>
        </w:rPr>
        <w:t xml:space="preserve"> w pań</w:t>
      </w:r>
      <w:r>
        <w:rPr>
          <w:rFonts w:ascii="Times New Roman" w:hAnsi="Times New Roman"/>
          <w:b/>
          <w:color w:val="000000" w:themeColor="text1"/>
          <w:sz w:val="24"/>
          <w:szCs w:val="24"/>
        </w:rPr>
        <w:t>stwach członkowskich korzystających</w:t>
      </w:r>
      <w:r w:rsidR="00A467B6">
        <w:rPr>
          <w:rFonts w:ascii="Times New Roman" w:hAnsi="Times New Roman"/>
          <w:b/>
          <w:color w:val="000000" w:themeColor="text1"/>
          <w:sz w:val="24"/>
          <w:szCs w:val="24"/>
        </w:rPr>
        <w:t xml:space="preserve"> z pom</w:t>
      </w:r>
      <w:r>
        <w:rPr>
          <w:rFonts w:ascii="Times New Roman" w:hAnsi="Times New Roman"/>
          <w:b/>
          <w:color w:val="000000" w:themeColor="text1"/>
          <w:sz w:val="24"/>
          <w:szCs w:val="24"/>
        </w:rPr>
        <w:t>ocy.</w:t>
      </w:r>
      <w:r>
        <w:rPr>
          <w:rFonts w:ascii="Times New Roman" w:hAnsi="Times New Roman"/>
          <w:color w:val="000000" w:themeColor="text1"/>
          <w:sz w:val="24"/>
          <w:szCs w:val="24"/>
        </w:rPr>
        <w:t xml:space="preserve"> Celem SURE jest pomoc państwom członkowskim</w:t>
      </w:r>
      <w:r w:rsidR="00A467B6">
        <w:rPr>
          <w:rFonts w:ascii="Times New Roman" w:hAnsi="Times New Roman"/>
          <w:color w:val="000000" w:themeColor="text1"/>
          <w:sz w:val="24"/>
          <w:szCs w:val="24"/>
        </w:rPr>
        <w:t xml:space="preserve"> w utr</w:t>
      </w:r>
      <w:r>
        <w:rPr>
          <w:rFonts w:ascii="Times New Roman" w:hAnsi="Times New Roman"/>
          <w:color w:val="000000" w:themeColor="text1"/>
          <w:sz w:val="24"/>
          <w:szCs w:val="24"/>
        </w:rPr>
        <w:t>zymaniu zatrudnienia pracowników</w:t>
      </w:r>
      <w:r w:rsidR="00A467B6">
        <w:rPr>
          <w:rFonts w:ascii="Times New Roman" w:hAnsi="Times New Roman"/>
          <w:color w:val="000000" w:themeColor="text1"/>
          <w:sz w:val="24"/>
          <w:szCs w:val="24"/>
        </w:rPr>
        <w:t xml:space="preserve"> i osó</w:t>
      </w:r>
      <w:r>
        <w:rPr>
          <w:rFonts w:ascii="Times New Roman" w:hAnsi="Times New Roman"/>
          <w:color w:val="000000" w:themeColor="text1"/>
          <w:sz w:val="24"/>
          <w:szCs w:val="24"/>
        </w:rPr>
        <w:t>b samozatrudnionych</w:t>
      </w:r>
      <w:r w:rsidR="00A467B6">
        <w:rPr>
          <w:rFonts w:ascii="Times New Roman" w:hAnsi="Times New Roman"/>
          <w:color w:val="000000" w:themeColor="text1"/>
          <w:sz w:val="24"/>
          <w:szCs w:val="24"/>
        </w:rPr>
        <w:t xml:space="preserve"> w cał</w:t>
      </w:r>
      <w:r>
        <w:rPr>
          <w:rFonts w:ascii="Times New Roman" w:hAnsi="Times New Roman"/>
          <w:color w:val="000000" w:themeColor="text1"/>
          <w:sz w:val="24"/>
          <w:szCs w:val="24"/>
        </w:rPr>
        <w:t>ej UE podczas pandemii COVID-19,</w:t>
      </w:r>
      <w:r w:rsidR="00A467B6">
        <w:rPr>
          <w:rFonts w:ascii="Times New Roman" w:hAnsi="Times New Roman"/>
          <w:color w:val="000000" w:themeColor="text1"/>
          <w:sz w:val="24"/>
          <w:szCs w:val="24"/>
        </w:rPr>
        <w:t xml:space="preserve"> a tym</w:t>
      </w:r>
      <w:r>
        <w:rPr>
          <w:rFonts w:ascii="Times New Roman" w:hAnsi="Times New Roman"/>
          <w:color w:val="000000" w:themeColor="text1"/>
          <w:sz w:val="24"/>
          <w:szCs w:val="24"/>
        </w:rPr>
        <w:t xml:space="preserve"> samym ochrona obywateli</w:t>
      </w:r>
      <w:r w:rsidR="00A467B6">
        <w:rPr>
          <w:rFonts w:ascii="Times New Roman" w:hAnsi="Times New Roman"/>
          <w:color w:val="000000" w:themeColor="text1"/>
          <w:sz w:val="24"/>
          <w:szCs w:val="24"/>
        </w:rPr>
        <w:t xml:space="preserve"> i uła</w:t>
      </w:r>
      <w:r>
        <w:rPr>
          <w:rFonts w:ascii="Times New Roman" w:hAnsi="Times New Roman"/>
          <w:color w:val="000000" w:themeColor="text1"/>
          <w:sz w:val="24"/>
          <w:szCs w:val="24"/>
        </w:rPr>
        <w:t>twienie szybkiej odbudowy po zakończeniu pandemii. Choć trudno jest stworzyć scenariusz alternatywny funkcjonowania rynku pracy</w:t>
      </w:r>
      <w:r w:rsidR="00A467B6">
        <w:rPr>
          <w:rFonts w:ascii="Times New Roman" w:hAnsi="Times New Roman"/>
          <w:color w:val="000000" w:themeColor="text1"/>
          <w:sz w:val="24"/>
          <w:szCs w:val="24"/>
        </w:rPr>
        <w:t xml:space="preserve"> w syt</w:t>
      </w:r>
      <w:r>
        <w:rPr>
          <w:rFonts w:ascii="Times New Roman" w:hAnsi="Times New Roman"/>
          <w:color w:val="000000" w:themeColor="text1"/>
          <w:sz w:val="24"/>
          <w:szCs w:val="24"/>
        </w:rPr>
        <w:t>uacji braku SURE,</w:t>
      </w:r>
      <w:r w:rsidR="00A467B6">
        <w:rPr>
          <w:rFonts w:ascii="Times New Roman" w:hAnsi="Times New Roman"/>
          <w:color w:val="000000" w:themeColor="text1"/>
          <w:sz w:val="24"/>
          <w:szCs w:val="24"/>
        </w:rPr>
        <w:t xml:space="preserve"> w nin</w:t>
      </w:r>
      <w:r>
        <w:rPr>
          <w:rFonts w:ascii="Times New Roman" w:hAnsi="Times New Roman"/>
          <w:color w:val="000000" w:themeColor="text1"/>
          <w:sz w:val="24"/>
          <w:szCs w:val="24"/>
        </w:rPr>
        <w:t>iejszej analizie przedstawiono relację między produkcją</w:t>
      </w:r>
      <w:r w:rsidR="00A467B6">
        <w:rPr>
          <w:rFonts w:ascii="Times New Roman" w:hAnsi="Times New Roman"/>
          <w:color w:val="000000" w:themeColor="text1"/>
          <w:sz w:val="24"/>
          <w:szCs w:val="24"/>
        </w:rPr>
        <w:t xml:space="preserve"> a bez</w:t>
      </w:r>
      <w:r>
        <w:rPr>
          <w:rFonts w:ascii="Times New Roman" w:hAnsi="Times New Roman"/>
          <w:color w:val="000000" w:themeColor="text1"/>
          <w:sz w:val="24"/>
          <w:szCs w:val="24"/>
        </w:rPr>
        <w:t>robociem od czasu wybuchu pandemii. Wyniki analizy należy interpretować ostrożnie, ponieważ na stosunek między produkcją</w:t>
      </w:r>
      <w:r w:rsidR="00A467B6">
        <w:rPr>
          <w:rFonts w:ascii="Times New Roman" w:hAnsi="Times New Roman"/>
          <w:color w:val="000000" w:themeColor="text1"/>
          <w:sz w:val="24"/>
          <w:szCs w:val="24"/>
        </w:rPr>
        <w:t xml:space="preserve"> a zat</w:t>
      </w:r>
      <w:r>
        <w:rPr>
          <w:rFonts w:ascii="Times New Roman" w:hAnsi="Times New Roman"/>
          <w:color w:val="000000" w:themeColor="text1"/>
          <w:sz w:val="24"/>
          <w:szCs w:val="24"/>
        </w:rPr>
        <w:t>rudnieniem wpływa wiele czynników,</w:t>
      </w:r>
      <w:r w:rsidR="00A467B6">
        <w:rPr>
          <w:rFonts w:ascii="Times New Roman" w:hAnsi="Times New Roman"/>
          <w:color w:val="000000" w:themeColor="text1"/>
          <w:sz w:val="24"/>
          <w:szCs w:val="24"/>
        </w:rPr>
        <w:t xml:space="preserve"> w tym</w:t>
      </w:r>
      <w:r>
        <w:rPr>
          <w:rFonts w:ascii="Times New Roman" w:hAnsi="Times New Roman"/>
          <w:color w:val="000000" w:themeColor="text1"/>
          <w:sz w:val="24"/>
          <w:szCs w:val="24"/>
        </w:rPr>
        <w:t xml:space="preserve"> SURE. </w:t>
      </w:r>
    </w:p>
    <w:p w14:paraId="56555B9B" w14:textId="7B19F263"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Pomimo poważnego spadku PKB</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r>
        <w:rPr>
          <w:rFonts w:ascii="Times New Roman" w:hAnsi="Times New Roman"/>
          <w:b/>
          <w:sz w:val="24"/>
          <w:szCs w:val="24"/>
        </w:rPr>
        <w:t xml:space="preserve"> (zob. wykres 8) wzrost stóp bezrobocia</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r>
        <w:rPr>
          <w:rFonts w:ascii="Times New Roman" w:hAnsi="Times New Roman"/>
          <w:b/>
          <w:sz w:val="24"/>
          <w:szCs w:val="24"/>
        </w:rPr>
        <w:t xml:space="preserve"> we wszystkich państwach członkowskich korzystających</w:t>
      </w:r>
      <w:r w:rsidR="00A467B6">
        <w:rPr>
          <w:rFonts w:ascii="Times New Roman" w:hAnsi="Times New Roman"/>
          <w:b/>
          <w:sz w:val="24"/>
          <w:szCs w:val="24"/>
        </w:rPr>
        <w:t xml:space="preserve"> z pom</w:t>
      </w:r>
      <w:r>
        <w:rPr>
          <w:rFonts w:ascii="Times New Roman" w:hAnsi="Times New Roman"/>
          <w:b/>
          <w:sz w:val="24"/>
          <w:szCs w:val="24"/>
        </w:rPr>
        <w:t xml:space="preserve">ocy był wyraźnie łagodniejszy niż podczas globalnego kryzysu finansowego. </w:t>
      </w:r>
      <w:r>
        <w:rPr>
          <w:rFonts w:ascii="Times New Roman" w:hAnsi="Times New Roman"/>
          <w:sz w:val="24"/>
          <w:szCs w:val="24"/>
        </w:rPr>
        <w:t>Zgodnie</w:t>
      </w:r>
      <w:r w:rsidR="00A467B6">
        <w:rPr>
          <w:rFonts w:ascii="Times New Roman" w:hAnsi="Times New Roman"/>
          <w:sz w:val="24"/>
          <w:szCs w:val="24"/>
        </w:rPr>
        <w:t xml:space="preserve"> z pro</w:t>
      </w:r>
      <w:r>
        <w:rPr>
          <w:rFonts w:ascii="Times New Roman" w:hAnsi="Times New Roman"/>
          <w:sz w:val="24"/>
          <w:szCs w:val="24"/>
        </w:rPr>
        <w:t>gnozą gospodarczą Komisji</w:t>
      </w:r>
      <w:r w:rsidR="00A467B6">
        <w:rPr>
          <w:rFonts w:ascii="Times New Roman" w:hAnsi="Times New Roman"/>
          <w:sz w:val="24"/>
          <w:szCs w:val="24"/>
        </w:rPr>
        <w:t xml:space="preserve"> z zim</w:t>
      </w:r>
      <w:r>
        <w:rPr>
          <w:rFonts w:ascii="Times New Roman" w:hAnsi="Times New Roman"/>
          <w:sz w:val="24"/>
          <w:szCs w:val="24"/>
        </w:rPr>
        <w:t>y 20</w:t>
      </w:r>
      <w:r w:rsidRPr="00A467B6">
        <w:rPr>
          <w:rFonts w:ascii="Times New Roman" w:hAnsi="Times New Roman"/>
          <w:sz w:val="24"/>
          <w:szCs w:val="24"/>
        </w:rPr>
        <w:t>21</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przewiduje się, że</w:t>
      </w:r>
      <w:r w:rsidR="00A467B6">
        <w:rPr>
          <w:rFonts w:ascii="Times New Roman" w:hAnsi="Times New Roman"/>
          <w:sz w:val="24"/>
          <w:szCs w:val="24"/>
        </w:rPr>
        <w:t xml:space="preserve"> w pań</w:t>
      </w:r>
      <w:r>
        <w:rPr>
          <w:rFonts w:ascii="Times New Roman" w:hAnsi="Times New Roman"/>
          <w:sz w:val="24"/>
          <w:szCs w:val="24"/>
        </w:rPr>
        <w:t>stwach, które skorzystały</w:t>
      </w:r>
      <w:r w:rsidR="00A467B6">
        <w:rPr>
          <w:rFonts w:ascii="Times New Roman" w:hAnsi="Times New Roman"/>
          <w:sz w:val="24"/>
          <w:szCs w:val="24"/>
        </w:rPr>
        <w:t xml:space="preserve"> z fin</w:t>
      </w:r>
      <w:r>
        <w:rPr>
          <w:rFonts w:ascii="Times New Roman" w:hAnsi="Times New Roman"/>
          <w:sz w:val="24"/>
          <w:szCs w:val="24"/>
        </w:rPr>
        <w:t>ansowania</w:t>
      </w:r>
      <w:r w:rsidR="00A467B6">
        <w:rPr>
          <w:rFonts w:ascii="Times New Roman" w:hAnsi="Times New Roman"/>
          <w:sz w:val="24"/>
          <w:szCs w:val="24"/>
        </w:rPr>
        <w:t xml:space="preserve"> w ram</w:t>
      </w:r>
      <w:r>
        <w:rPr>
          <w:rFonts w:ascii="Times New Roman" w:hAnsi="Times New Roman"/>
          <w:sz w:val="24"/>
          <w:szCs w:val="24"/>
        </w:rPr>
        <w:t>ach SURE,</w:t>
      </w:r>
      <w:r w:rsidR="00A467B6">
        <w:rPr>
          <w:rFonts w:ascii="Times New Roman" w:hAnsi="Times New Roman"/>
          <w:sz w:val="24"/>
          <w:szCs w:val="24"/>
        </w:rPr>
        <w:t xml:space="preserve"> w 2</w:t>
      </w:r>
      <w:r>
        <w:rPr>
          <w:rFonts w:ascii="Times New Roman" w:hAnsi="Times New Roman"/>
          <w:sz w:val="24"/>
          <w:szCs w:val="24"/>
        </w:rPr>
        <w:t>0</w:t>
      </w:r>
      <w:r w:rsidRPr="00A467B6">
        <w:rPr>
          <w:rFonts w:ascii="Times New Roman" w:hAnsi="Times New Roman"/>
          <w:sz w:val="24"/>
          <w:szCs w:val="24"/>
        </w:rPr>
        <w:t>20</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realny PKB spadnie o -5,</w:t>
      </w:r>
      <w:r w:rsidRPr="00A467B6">
        <w:rPr>
          <w:rFonts w:ascii="Times New Roman" w:hAnsi="Times New Roman"/>
          <w:sz w:val="24"/>
          <w:szCs w:val="24"/>
        </w:rPr>
        <w:t>8</w:t>
      </w:r>
      <w:r w:rsidR="00A467B6" w:rsidRPr="00A467B6">
        <w:rPr>
          <w:rFonts w:ascii="Times New Roman" w:hAnsi="Times New Roman"/>
          <w:sz w:val="24"/>
          <w:szCs w:val="24"/>
        </w:rPr>
        <w:t> </w:t>
      </w:r>
      <w:r w:rsidRPr="00A467B6">
        <w:rPr>
          <w:rFonts w:ascii="Times New Roman" w:hAnsi="Times New Roman"/>
          <w:sz w:val="24"/>
          <w:szCs w:val="24"/>
        </w:rPr>
        <w:t>%</w:t>
      </w:r>
      <w:r>
        <w:rPr>
          <w:rFonts w:ascii="Times New Roman" w:hAnsi="Times New Roman"/>
          <w:sz w:val="24"/>
          <w:szCs w:val="24"/>
        </w:rPr>
        <w:t>. Spadek ten jest większy niż spadek zaobserwowany podczas szczytu globalnego kryzysu finansowego</w:t>
      </w:r>
      <w:r w:rsidR="00A467B6">
        <w:rPr>
          <w:rFonts w:ascii="Times New Roman" w:hAnsi="Times New Roman"/>
          <w:sz w:val="24"/>
          <w:szCs w:val="24"/>
        </w:rPr>
        <w:t xml:space="preserve"> w 2</w:t>
      </w:r>
      <w:r>
        <w:rPr>
          <w:rFonts w:ascii="Times New Roman" w:hAnsi="Times New Roman"/>
          <w:sz w:val="24"/>
          <w:szCs w:val="24"/>
        </w:rPr>
        <w:t>0</w:t>
      </w:r>
      <w:r w:rsidRPr="00A467B6">
        <w:rPr>
          <w:rFonts w:ascii="Times New Roman" w:hAnsi="Times New Roman"/>
          <w:sz w:val="24"/>
          <w:szCs w:val="24"/>
        </w:rPr>
        <w:t>09</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Jednocześnie przewiduje się, że stopa bezrobocia wzrośnie</w:t>
      </w:r>
      <w:r w:rsidR="00A467B6">
        <w:rPr>
          <w:rFonts w:ascii="Times New Roman" w:hAnsi="Times New Roman"/>
          <w:sz w:val="24"/>
          <w:szCs w:val="24"/>
        </w:rPr>
        <w:t xml:space="preserve"> w 2</w:t>
      </w:r>
      <w:r>
        <w:rPr>
          <w:rFonts w:ascii="Times New Roman" w:hAnsi="Times New Roman"/>
          <w:sz w:val="24"/>
          <w:szCs w:val="24"/>
        </w:rPr>
        <w:t>0</w:t>
      </w:r>
      <w:r w:rsidRPr="00A467B6">
        <w:rPr>
          <w:rFonts w:ascii="Times New Roman" w:hAnsi="Times New Roman"/>
          <w:sz w:val="24"/>
          <w:szCs w:val="24"/>
        </w:rPr>
        <w:t>20</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tylko</w:t>
      </w:r>
      <w:r w:rsidR="00A467B6">
        <w:rPr>
          <w:rFonts w:ascii="Times New Roman" w:hAnsi="Times New Roman"/>
          <w:sz w:val="24"/>
          <w:szCs w:val="24"/>
        </w:rPr>
        <w:t xml:space="preserve"> o 0</w:t>
      </w:r>
      <w:r>
        <w:rPr>
          <w:rFonts w:ascii="Times New Roman" w:hAnsi="Times New Roman"/>
          <w:sz w:val="24"/>
          <w:szCs w:val="24"/>
        </w:rPr>
        <w:t>,7 punktu procentowego – dla porównania</w:t>
      </w:r>
      <w:r w:rsidR="00A467B6">
        <w:rPr>
          <w:rFonts w:ascii="Times New Roman" w:hAnsi="Times New Roman"/>
          <w:sz w:val="24"/>
          <w:szCs w:val="24"/>
        </w:rPr>
        <w:t xml:space="preserve"> w 2</w:t>
      </w:r>
      <w:r>
        <w:rPr>
          <w:rFonts w:ascii="Times New Roman" w:hAnsi="Times New Roman"/>
          <w:sz w:val="24"/>
          <w:szCs w:val="24"/>
        </w:rPr>
        <w:t>0</w:t>
      </w:r>
      <w:r w:rsidRPr="00A467B6">
        <w:rPr>
          <w:rFonts w:ascii="Times New Roman" w:hAnsi="Times New Roman"/>
          <w:sz w:val="24"/>
          <w:szCs w:val="24"/>
        </w:rPr>
        <w:t>09</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wzrosła</w:t>
      </w:r>
      <w:r w:rsidR="00A467B6">
        <w:rPr>
          <w:rFonts w:ascii="Times New Roman" w:hAnsi="Times New Roman"/>
          <w:sz w:val="24"/>
          <w:szCs w:val="24"/>
        </w:rPr>
        <w:t xml:space="preserve"> o 2</w:t>
      </w:r>
      <w:r>
        <w:rPr>
          <w:rFonts w:ascii="Times New Roman" w:hAnsi="Times New Roman"/>
          <w:sz w:val="24"/>
          <w:szCs w:val="24"/>
        </w:rPr>
        <w:t xml:space="preserve">,6 punktu procentowego. </w:t>
      </w:r>
    </w:p>
    <w:p w14:paraId="23A8337C" w14:textId="047930EE" w:rsidR="009D29AB" w:rsidRPr="009D29AB" w:rsidRDefault="009D29AB" w:rsidP="009D29AB">
      <w:pPr>
        <w:jc w:val="both"/>
        <w:rPr>
          <w:rFonts w:ascii="Times New Roman" w:hAnsi="Times New Roman" w:cs="Times New Roman"/>
          <w:b/>
          <w:sz w:val="24"/>
          <w:szCs w:val="24"/>
        </w:rPr>
      </w:pPr>
      <w:bookmarkStart w:id="5" w:name="OLE_LINK4"/>
      <w:bookmarkStart w:id="6" w:name="OLE_LINK6"/>
      <w:r>
        <w:rPr>
          <w:rFonts w:ascii="Times New Roman" w:hAnsi="Times New Roman"/>
          <w:b/>
          <w:sz w:val="24"/>
          <w:szCs w:val="24"/>
        </w:rPr>
        <w:t>Wykres 8: Zmiany realnego PKB</w:t>
      </w:r>
      <w:r w:rsidR="00A467B6">
        <w:rPr>
          <w:rFonts w:ascii="Times New Roman" w:hAnsi="Times New Roman"/>
          <w:b/>
          <w:sz w:val="24"/>
          <w:szCs w:val="24"/>
        </w:rPr>
        <w:t xml:space="preserve"> a bez</w:t>
      </w:r>
      <w:r>
        <w:rPr>
          <w:rFonts w:ascii="Times New Roman" w:hAnsi="Times New Roman"/>
          <w:b/>
          <w:sz w:val="24"/>
          <w:szCs w:val="24"/>
        </w:rPr>
        <w:t>robocie</w:t>
      </w:r>
      <w:r w:rsidR="00A467B6">
        <w:rPr>
          <w:rFonts w:ascii="Times New Roman" w:hAnsi="Times New Roman"/>
          <w:b/>
          <w:sz w:val="24"/>
          <w:szCs w:val="24"/>
        </w:rPr>
        <w:t xml:space="preserve"> w pań</w:t>
      </w:r>
      <w:r>
        <w:rPr>
          <w:rFonts w:ascii="Times New Roman" w:hAnsi="Times New Roman"/>
          <w:b/>
          <w:sz w:val="24"/>
          <w:szCs w:val="24"/>
        </w:rPr>
        <w:t>stwach członkowskich korzystających</w:t>
      </w:r>
      <w:r w:rsidR="00A467B6">
        <w:rPr>
          <w:rFonts w:ascii="Times New Roman" w:hAnsi="Times New Roman"/>
          <w:b/>
          <w:sz w:val="24"/>
          <w:szCs w:val="24"/>
        </w:rPr>
        <w:t xml:space="preserve"> z pom</w:t>
      </w:r>
      <w:r>
        <w:rPr>
          <w:rFonts w:ascii="Times New Roman" w:hAnsi="Times New Roman"/>
          <w:b/>
          <w:sz w:val="24"/>
          <w:szCs w:val="24"/>
        </w:rPr>
        <w:t>ocy</w:t>
      </w:r>
      <w:r w:rsidR="00A467B6">
        <w:rPr>
          <w:rFonts w:ascii="Times New Roman" w:hAnsi="Times New Roman"/>
          <w:b/>
          <w:sz w:val="24"/>
          <w:szCs w:val="24"/>
        </w:rPr>
        <w:t xml:space="preserve"> w lat</w:t>
      </w:r>
      <w:r>
        <w:rPr>
          <w:rFonts w:ascii="Times New Roman" w:hAnsi="Times New Roman"/>
          <w:b/>
          <w:sz w:val="24"/>
          <w:szCs w:val="24"/>
        </w:rPr>
        <w:t>ach 2009</w:t>
      </w:r>
      <w:r w:rsidR="00A467B6">
        <w:rPr>
          <w:rFonts w:ascii="Times New Roman" w:hAnsi="Times New Roman"/>
          <w:b/>
          <w:sz w:val="24"/>
          <w:szCs w:val="24"/>
        </w:rPr>
        <w:t xml:space="preserve"> i 2</w:t>
      </w:r>
      <w:r>
        <w:rPr>
          <w:rFonts w:ascii="Times New Roman" w:hAnsi="Times New Roman"/>
          <w:b/>
          <w:sz w:val="24"/>
          <w:szCs w:val="24"/>
        </w:rPr>
        <w:t>020</w:t>
      </w:r>
    </w:p>
    <w:bookmarkEnd w:id="5"/>
    <w:bookmarkEnd w:id="6"/>
    <w:p w14:paraId="06CBDE4A" w14:textId="630E06EE" w:rsidR="009D29AB" w:rsidRPr="009D29AB" w:rsidRDefault="005E26A2" w:rsidP="009D29AB">
      <w:pPr>
        <w:jc w:val="center"/>
        <w:rPr>
          <w:rFonts w:ascii="Times New Roman" w:hAnsi="Times New Roman" w:cs="Times New Roman"/>
          <w:sz w:val="24"/>
          <w:szCs w:val="24"/>
        </w:rPr>
      </w:pPr>
      <w:r w:rsidRPr="001B437C">
        <w:rPr>
          <w:noProof/>
          <w:lang w:val="en-US"/>
        </w:rPr>
        <w:drawing>
          <wp:inline distT="0" distB="0" distL="0" distR="0" wp14:anchorId="380581CB" wp14:editId="46511194">
            <wp:extent cx="2817628" cy="2606007"/>
            <wp:effectExtent l="0" t="0" r="1905" b="444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26701" cy="2614399"/>
                    </a:xfrm>
                    <a:prstGeom prst="rect">
                      <a:avLst/>
                    </a:prstGeom>
                    <a:noFill/>
                    <a:ln>
                      <a:noFill/>
                    </a:ln>
                  </pic:spPr>
                </pic:pic>
              </a:graphicData>
            </a:graphic>
          </wp:inline>
        </w:drawing>
      </w:r>
    </w:p>
    <w:p w14:paraId="561B5FE0" w14:textId="782FBD5A" w:rsidR="009D29AB" w:rsidRPr="009D29AB" w:rsidRDefault="009D29AB" w:rsidP="009D29AB">
      <w:pPr>
        <w:spacing w:after="0"/>
        <w:rPr>
          <w:rFonts w:ascii="Times New Roman" w:hAnsi="Times New Roman" w:cs="Times New Roman"/>
          <w:sz w:val="20"/>
        </w:rPr>
      </w:pPr>
      <w:r>
        <w:rPr>
          <w:rFonts w:ascii="Times New Roman" w:hAnsi="Times New Roman"/>
          <w:sz w:val="20"/>
        </w:rPr>
        <w:t>Uwaga: wykres przedstawia średnie arytmetyczne dla państw członkowskich korzystających z SURE. Stopa bezrobocia</w:t>
      </w:r>
      <w:r w:rsidR="00A467B6">
        <w:rPr>
          <w:rFonts w:ascii="Times New Roman" w:hAnsi="Times New Roman"/>
          <w:sz w:val="20"/>
        </w:rPr>
        <w:t xml:space="preserve"> z 2</w:t>
      </w:r>
      <w:r>
        <w:rPr>
          <w:rFonts w:ascii="Times New Roman" w:hAnsi="Times New Roman"/>
          <w:sz w:val="20"/>
        </w:rPr>
        <w:t>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r>
        <w:rPr>
          <w:rFonts w:ascii="Times New Roman" w:hAnsi="Times New Roman"/>
          <w:sz w:val="20"/>
        </w:rPr>
        <w:t xml:space="preserve"> to średnia stóp bezrobocia</w:t>
      </w:r>
      <w:r w:rsidR="00A467B6">
        <w:rPr>
          <w:rFonts w:ascii="Times New Roman" w:hAnsi="Times New Roman"/>
          <w:sz w:val="20"/>
        </w:rPr>
        <w:t xml:space="preserve"> z pos</w:t>
      </w:r>
      <w:r>
        <w:rPr>
          <w:rFonts w:ascii="Times New Roman" w:hAnsi="Times New Roman"/>
          <w:sz w:val="20"/>
        </w:rPr>
        <w:t>zczególnych miesięcy 20</w:t>
      </w:r>
      <w:r w:rsidRPr="00A467B6">
        <w:rPr>
          <w:rFonts w:ascii="Times New Roman" w:hAnsi="Times New Roman"/>
          <w:sz w:val="20"/>
        </w:rPr>
        <w:t>20</w:t>
      </w:r>
      <w:r w:rsidR="00A467B6" w:rsidRPr="00A467B6">
        <w:rPr>
          <w:rFonts w:ascii="Times New Roman" w:hAnsi="Times New Roman"/>
          <w:sz w:val="20"/>
        </w:rPr>
        <w:t> </w:t>
      </w:r>
      <w:r w:rsidRPr="00A467B6">
        <w:rPr>
          <w:rFonts w:ascii="Times New Roman" w:hAnsi="Times New Roman"/>
          <w:sz w:val="20"/>
        </w:rPr>
        <w:t>r.</w:t>
      </w:r>
    </w:p>
    <w:p w14:paraId="7339E78B" w14:textId="7DF2D0C7" w:rsidR="009D29AB" w:rsidRPr="009D29AB" w:rsidRDefault="009D29AB" w:rsidP="009D29AB">
      <w:pPr>
        <w:spacing w:after="0"/>
        <w:jc w:val="both"/>
        <w:rPr>
          <w:rFonts w:ascii="Times New Roman" w:hAnsi="Times New Roman" w:cs="Times New Roman"/>
          <w:sz w:val="24"/>
        </w:rPr>
      </w:pPr>
      <w:r>
        <w:rPr>
          <w:rFonts w:ascii="Times New Roman" w:hAnsi="Times New Roman"/>
          <w:sz w:val="20"/>
        </w:rPr>
        <w:t xml:space="preserve">Źródło: </w:t>
      </w:r>
      <w:r>
        <w:rPr>
          <w:rFonts w:ascii="Times New Roman" w:hAnsi="Times New Roman"/>
          <w:i/>
          <w:sz w:val="20"/>
        </w:rPr>
        <w:t>Eurostat; PKB</w:t>
      </w:r>
      <w:r w:rsidR="00A467B6">
        <w:rPr>
          <w:rFonts w:ascii="Times New Roman" w:hAnsi="Times New Roman"/>
          <w:i/>
          <w:sz w:val="20"/>
        </w:rPr>
        <w:t xml:space="preserve"> z 2</w:t>
      </w:r>
      <w:r>
        <w:rPr>
          <w:rFonts w:ascii="Times New Roman" w:hAnsi="Times New Roman"/>
          <w:i/>
          <w:sz w:val="20"/>
        </w:rPr>
        <w:t>0</w:t>
      </w:r>
      <w:r w:rsidRPr="00A467B6">
        <w:rPr>
          <w:rFonts w:ascii="Times New Roman" w:hAnsi="Times New Roman"/>
          <w:i/>
          <w:sz w:val="20"/>
        </w:rPr>
        <w:t>20</w:t>
      </w:r>
      <w:r w:rsidR="00A467B6" w:rsidRPr="00A467B6">
        <w:rPr>
          <w:rFonts w:ascii="Times New Roman" w:hAnsi="Times New Roman"/>
          <w:i/>
          <w:sz w:val="20"/>
        </w:rPr>
        <w:t> </w:t>
      </w:r>
      <w:r w:rsidRPr="00A467B6">
        <w:rPr>
          <w:rFonts w:ascii="Times New Roman" w:hAnsi="Times New Roman"/>
          <w:i/>
          <w:sz w:val="20"/>
        </w:rPr>
        <w:t>r.</w:t>
      </w:r>
      <w:r>
        <w:rPr>
          <w:rFonts w:ascii="Times New Roman" w:hAnsi="Times New Roman"/>
          <w:i/>
          <w:sz w:val="20"/>
        </w:rPr>
        <w:t xml:space="preserve"> zaczerpnięto</w:t>
      </w:r>
      <w:r w:rsidR="00A467B6">
        <w:rPr>
          <w:rFonts w:ascii="Times New Roman" w:hAnsi="Times New Roman"/>
          <w:i/>
          <w:sz w:val="20"/>
        </w:rPr>
        <w:t xml:space="preserve"> z pro</w:t>
      </w:r>
      <w:r>
        <w:rPr>
          <w:rFonts w:ascii="Times New Roman" w:hAnsi="Times New Roman"/>
          <w:i/>
          <w:sz w:val="20"/>
        </w:rPr>
        <w:t>gnozy gospodarczej Komisji</w:t>
      </w:r>
      <w:r w:rsidR="00A467B6">
        <w:rPr>
          <w:rFonts w:ascii="Times New Roman" w:hAnsi="Times New Roman"/>
          <w:i/>
          <w:sz w:val="20"/>
        </w:rPr>
        <w:t xml:space="preserve"> z zim</w:t>
      </w:r>
      <w:r>
        <w:rPr>
          <w:rFonts w:ascii="Times New Roman" w:hAnsi="Times New Roman"/>
          <w:i/>
          <w:sz w:val="20"/>
        </w:rPr>
        <w:t>y 20</w:t>
      </w:r>
      <w:r w:rsidRPr="00A467B6">
        <w:rPr>
          <w:rFonts w:ascii="Times New Roman" w:hAnsi="Times New Roman"/>
          <w:i/>
          <w:sz w:val="20"/>
        </w:rPr>
        <w:t>21</w:t>
      </w:r>
      <w:r w:rsidR="00A467B6" w:rsidRPr="00A467B6">
        <w:rPr>
          <w:rFonts w:ascii="Times New Roman" w:hAnsi="Times New Roman"/>
          <w:i/>
          <w:sz w:val="20"/>
        </w:rPr>
        <w:t> </w:t>
      </w:r>
      <w:r w:rsidRPr="00A467B6">
        <w:rPr>
          <w:rFonts w:ascii="Times New Roman" w:hAnsi="Times New Roman"/>
          <w:i/>
          <w:sz w:val="20"/>
        </w:rPr>
        <w:t>r.</w:t>
      </w:r>
      <w:r>
        <w:rPr>
          <w:rFonts w:ascii="Times New Roman" w:hAnsi="Times New Roman"/>
          <w:i/>
          <w:sz w:val="24"/>
        </w:rPr>
        <w:t xml:space="preserve"> </w:t>
      </w:r>
    </w:p>
    <w:p w14:paraId="0F74B12A" w14:textId="77777777" w:rsidR="009D29AB" w:rsidRPr="000C43EC" w:rsidRDefault="009D29AB" w:rsidP="009D29AB">
      <w:pPr>
        <w:spacing w:after="0"/>
        <w:jc w:val="both"/>
        <w:rPr>
          <w:rFonts w:ascii="Times New Roman" w:hAnsi="Times New Roman" w:cs="Times New Roman"/>
          <w:i/>
          <w:sz w:val="24"/>
          <w:szCs w:val="24"/>
        </w:rPr>
      </w:pPr>
    </w:p>
    <w:p w14:paraId="0ABD60DE" w14:textId="0BFE4FE5" w:rsidR="009D29AB" w:rsidRPr="009D29AB" w:rsidRDefault="009D29AB" w:rsidP="009D29AB">
      <w:pPr>
        <w:jc w:val="both"/>
        <w:rPr>
          <w:rFonts w:ascii="Times New Roman" w:hAnsi="Times New Roman" w:cs="Times New Roman"/>
          <w:sz w:val="24"/>
          <w:szCs w:val="24"/>
        </w:rPr>
      </w:pPr>
      <w:r>
        <w:rPr>
          <w:rFonts w:ascii="Times New Roman" w:hAnsi="Times New Roman"/>
          <w:b/>
          <w:sz w:val="24"/>
          <w:szCs w:val="24"/>
        </w:rPr>
        <w:t>Wrażliwość bezrobocia na zmiany</w:t>
      </w:r>
      <w:r w:rsidR="00A467B6">
        <w:rPr>
          <w:rFonts w:ascii="Times New Roman" w:hAnsi="Times New Roman"/>
          <w:b/>
          <w:sz w:val="24"/>
          <w:szCs w:val="24"/>
        </w:rPr>
        <w:t xml:space="preserve"> w pro</w:t>
      </w:r>
      <w:r>
        <w:rPr>
          <w:rFonts w:ascii="Times New Roman" w:hAnsi="Times New Roman"/>
          <w:b/>
          <w:sz w:val="24"/>
          <w:szCs w:val="24"/>
        </w:rPr>
        <w:t>dukcji</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r>
        <w:rPr>
          <w:rFonts w:ascii="Times New Roman" w:hAnsi="Times New Roman"/>
          <w:b/>
          <w:sz w:val="24"/>
          <w:szCs w:val="24"/>
        </w:rPr>
        <w:t xml:space="preserve"> była</w:t>
      </w:r>
      <w:r w:rsidR="00A467B6">
        <w:rPr>
          <w:rFonts w:ascii="Times New Roman" w:hAnsi="Times New Roman"/>
          <w:b/>
          <w:sz w:val="24"/>
          <w:szCs w:val="24"/>
        </w:rPr>
        <w:t xml:space="preserve"> w pań</w:t>
      </w:r>
      <w:r>
        <w:rPr>
          <w:rFonts w:ascii="Times New Roman" w:hAnsi="Times New Roman"/>
          <w:b/>
          <w:sz w:val="24"/>
          <w:szCs w:val="24"/>
        </w:rPr>
        <w:t>stwach członkowskich korzystających</w:t>
      </w:r>
      <w:r w:rsidR="00A467B6">
        <w:rPr>
          <w:rFonts w:ascii="Times New Roman" w:hAnsi="Times New Roman"/>
          <w:b/>
          <w:sz w:val="24"/>
          <w:szCs w:val="24"/>
        </w:rPr>
        <w:t xml:space="preserve"> z pom</w:t>
      </w:r>
      <w:r>
        <w:rPr>
          <w:rFonts w:ascii="Times New Roman" w:hAnsi="Times New Roman"/>
          <w:b/>
          <w:sz w:val="24"/>
          <w:szCs w:val="24"/>
        </w:rPr>
        <w:t>ocy mniejsza, niż przewidywano (zob. wykresy 9</w:t>
      </w:r>
      <w:r w:rsidR="00A467B6">
        <w:rPr>
          <w:rFonts w:ascii="Times New Roman" w:hAnsi="Times New Roman"/>
          <w:b/>
          <w:sz w:val="24"/>
          <w:szCs w:val="24"/>
        </w:rPr>
        <w:t xml:space="preserve"> i 1</w:t>
      </w:r>
      <w:r>
        <w:rPr>
          <w:rFonts w:ascii="Times New Roman" w:hAnsi="Times New Roman"/>
          <w:b/>
          <w:sz w:val="24"/>
          <w:szCs w:val="24"/>
        </w:rPr>
        <w:t>0).</w:t>
      </w:r>
      <w:r>
        <w:rPr>
          <w:rFonts w:ascii="Times New Roman" w:hAnsi="Times New Roman" w:cs="Times New Roman"/>
          <w:sz w:val="24"/>
          <w:szCs w:val="24"/>
          <w:vertAlign w:val="superscript"/>
        </w:rPr>
        <w:footnoteReference w:id="29"/>
      </w:r>
      <w:r>
        <w:rPr>
          <w:rFonts w:ascii="Times New Roman" w:hAnsi="Times New Roman"/>
          <w:b/>
          <w:sz w:val="24"/>
          <w:szCs w:val="24"/>
        </w:rPr>
        <w:t xml:space="preserve"> </w:t>
      </w:r>
      <w:r>
        <w:rPr>
          <w:rFonts w:ascii="Times New Roman" w:hAnsi="Times New Roman"/>
          <w:sz w:val="24"/>
          <w:szCs w:val="24"/>
        </w:rPr>
        <w:t>Szybkie</w:t>
      </w:r>
      <w:r w:rsidR="00A467B6">
        <w:rPr>
          <w:rFonts w:ascii="Times New Roman" w:hAnsi="Times New Roman"/>
          <w:sz w:val="24"/>
          <w:szCs w:val="24"/>
        </w:rPr>
        <w:t xml:space="preserve"> i sze</w:t>
      </w:r>
      <w:r>
        <w:rPr>
          <w:rFonts w:ascii="Times New Roman" w:hAnsi="Times New Roman"/>
          <w:sz w:val="24"/>
          <w:szCs w:val="24"/>
        </w:rPr>
        <w:t>roko zakrojone środki polityki wdrożone</w:t>
      </w:r>
      <w:r w:rsidR="00A467B6">
        <w:rPr>
          <w:rFonts w:ascii="Times New Roman" w:hAnsi="Times New Roman"/>
          <w:sz w:val="24"/>
          <w:szCs w:val="24"/>
        </w:rPr>
        <w:t xml:space="preserve"> w 2</w:t>
      </w:r>
      <w:r>
        <w:rPr>
          <w:rFonts w:ascii="Times New Roman" w:hAnsi="Times New Roman"/>
          <w:sz w:val="24"/>
          <w:szCs w:val="24"/>
        </w:rPr>
        <w:t>0</w:t>
      </w:r>
      <w:r w:rsidRPr="00A467B6">
        <w:rPr>
          <w:rFonts w:ascii="Times New Roman" w:hAnsi="Times New Roman"/>
          <w:sz w:val="24"/>
          <w:szCs w:val="24"/>
        </w:rPr>
        <w:t>20</w:t>
      </w:r>
      <w:r w:rsidR="00A467B6" w:rsidRPr="00A467B6">
        <w:rPr>
          <w:rFonts w:ascii="Times New Roman" w:hAnsi="Times New Roman"/>
          <w:sz w:val="24"/>
          <w:szCs w:val="24"/>
        </w:rPr>
        <w:t> </w:t>
      </w:r>
      <w:r w:rsidRPr="00A467B6">
        <w:rPr>
          <w:rFonts w:ascii="Times New Roman" w:hAnsi="Times New Roman"/>
          <w:sz w:val="24"/>
          <w:szCs w:val="24"/>
        </w:rPr>
        <w:t>r.</w:t>
      </w:r>
      <w:r w:rsidR="00A467B6">
        <w:rPr>
          <w:rFonts w:ascii="Times New Roman" w:hAnsi="Times New Roman"/>
          <w:sz w:val="24"/>
          <w:szCs w:val="24"/>
        </w:rPr>
        <w:t xml:space="preserve"> w cel</w:t>
      </w:r>
      <w:r>
        <w:rPr>
          <w:rFonts w:ascii="Times New Roman" w:hAnsi="Times New Roman"/>
          <w:sz w:val="24"/>
          <w:szCs w:val="24"/>
        </w:rPr>
        <w:t>u walki</w:t>
      </w:r>
      <w:r w:rsidR="00A467B6">
        <w:rPr>
          <w:rFonts w:ascii="Times New Roman" w:hAnsi="Times New Roman"/>
          <w:sz w:val="24"/>
          <w:szCs w:val="24"/>
        </w:rPr>
        <w:t xml:space="preserve"> z kry</w:t>
      </w:r>
      <w:r>
        <w:rPr>
          <w:rFonts w:ascii="Times New Roman" w:hAnsi="Times New Roman"/>
          <w:sz w:val="24"/>
          <w:szCs w:val="24"/>
        </w:rPr>
        <w:t>zysem złagodziły wpływ spadku produkcji na bezrobocie</w:t>
      </w:r>
      <w:r w:rsidR="00A467B6">
        <w:rPr>
          <w:rFonts w:ascii="Times New Roman" w:hAnsi="Times New Roman"/>
          <w:sz w:val="24"/>
          <w:szCs w:val="24"/>
        </w:rPr>
        <w:t>. W zwi</w:t>
      </w:r>
      <w:r>
        <w:rPr>
          <w:rFonts w:ascii="Times New Roman" w:hAnsi="Times New Roman"/>
          <w:sz w:val="24"/>
          <w:szCs w:val="24"/>
        </w:rPr>
        <w:t>ązku</w:t>
      </w:r>
      <w:r w:rsidR="00A467B6">
        <w:rPr>
          <w:rFonts w:ascii="Times New Roman" w:hAnsi="Times New Roman"/>
          <w:sz w:val="24"/>
          <w:szCs w:val="24"/>
        </w:rPr>
        <w:t xml:space="preserve"> z tym</w:t>
      </w:r>
      <w:r>
        <w:rPr>
          <w:rFonts w:ascii="Times New Roman" w:hAnsi="Times New Roman"/>
          <w:sz w:val="24"/>
          <w:szCs w:val="24"/>
        </w:rPr>
        <w:t xml:space="preserve"> wzrost stóp bezrobocia był</w:t>
      </w:r>
      <w:r w:rsidR="00A467B6">
        <w:rPr>
          <w:rFonts w:ascii="Times New Roman" w:hAnsi="Times New Roman"/>
          <w:sz w:val="24"/>
          <w:szCs w:val="24"/>
        </w:rPr>
        <w:t xml:space="preserve"> w wię</w:t>
      </w:r>
      <w:r>
        <w:rPr>
          <w:rFonts w:ascii="Times New Roman" w:hAnsi="Times New Roman"/>
          <w:sz w:val="24"/>
          <w:szCs w:val="24"/>
        </w:rPr>
        <w:t>kszości państw mniejszy, niż przewidywano</w:t>
      </w:r>
      <w:r>
        <w:rPr>
          <w:rFonts w:ascii="Times New Roman" w:hAnsi="Times New Roman" w:cs="Times New Roman"/>
          <w:sz w:val="24"/>
          <w:szCs w:val="24"/>
          <w:vertAlign w:val="superscript"/>
        </w:rPr>
        <w:footnoteReference w:id="30"/>
      </w: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32"/>
      </w:tblGrid>
      <w:tr w:rsidR="005E26A2" w:rsidRPr="009D29AB" w14:paraId="48A6D5AB" w14:textId="77777777" w:rsidTr="00D61F7B">
        <w:trPr>
          <w:trHeight w:val="3252"/>
        </w:trPr>
        <w:tc>
          <w:tcPr>
            <w:tcW w:w="4476" w:type="dxa"/>
          </w:tcPr>
          <w:p w14:paraId="1E39D880" w14:textId="5EF992E4" w:rsidR="009D29AB" w:rsidRPr="009D29AB" w:rsidRDefault="009D29AB" w:rsidP="009D29AB">
            <w:pPr>
              <w:jc w:val="both"/>
              <w:rPr>
                <w:rFonts w:ascii="Times New Roman" w:hAnsi="Times New Roman" w:cs="Times New Roman"/>
                <w:b/>
                <w:sz w:val="24"/>
                <w:szCs w:val="24"/>
              </w:rPr>
            </w:pPr>
            <w:bookmarkStart w:id="7" w:name="OLE_LINK5"/>
            <w:r>
              <w:rPr>
                <w:rFonts w:ascii="Times New Roman" w:hAnsi="Times New Roman"/>
                <w:b/>
                <w:sz w:val="24"/>
                <w:szCs w:val="24"/>
              </w:rPr>
              <w:t>Wykres 9: Porównanie faktycznych</w:t>
            </w:r>
            <w:r w:rsidR="00A467B6">
              <w:rPr>
                <w:rFonts w:ascii="Times New Roman" w:hAnsi="Times New Roman"/>
                <w:b/>
                <w:sz w:val="24"/>
                <w:szCs w:val="24"/>
              </w:rPr>
              <w:t xml:space="preserve"> i prz</w:t>
            </w:r>
            <w:r>
              <w:rPr>
                <w:rFonts w:ascii="Times New Roman" w:hAnsi="Times New Roman"/>
                <w:b/>
                <w:sz w:val="24"/>
                <w:szCs w:val="24"/>
              </w:rPr>
              <w:t>ewidywanych zmian stóp bezrobocia</w:t>
            </w:r>
            <w:r w:rsidR="00A467B6">
              <w:rPr>
                <w:rFonts w:ascii="Times New Roman" w:hAnsi="Times New Roman"/>
                <w:b/>
                <w:sz w:val="24"/>
                <w:szCs w:val="24"/>
              </w:rPr>
              <w:t xml:space="preserve"> w pań</w:t>
            </w:r>
            <w:r>
              <w:rPr>
                <w:rFonts w:ascii="Times New Roman" w:hAnsi="Times New Roman"/>
                <w:b/>
                <w:sz w:val="24"/>
                <w:szCs w:val="24"/>
              </w:rPr>
              <w:t>stwach członkowskich korzystających</w:t>
            </w:r>
            <w:r w:rsidR="00A467B6">
              <w:rPr>
                <w:rFonts w:ascii="Times New Roman" w:hAnsi="Times New Roman"/>
                <w:b/>
                <w:sz w:val="24"/>
                <w:szCs w:val="24"/>
              </w:rPr>
              <w:t xml:space="preserve"> z pom</w:t>
            </w:r>
            <w:r>
              <w:rPr>
                <w:rFonts w:ascii="Times New Roman" w:hAnsi="Times New Roman"/>
                <w:b/>
                <w:sz w:val="24"/>
                <w:szCs w:val="24"/>
              </w:rPr>
              <w:t>ocy</w:t>
            </w:r>
            <w:r w:rsidR="00A467B6">
              <w:rPr>
                <w:rFonts w:ascii="Times New Roman" w:hAnsi="Times New Roman"/>
                <w:b/>
                <w:sz w:val="24"/>
                <w:szCs w:val="24"/>
              </w:rPr>
              <w:t xml:space="preserve"> w lat</w:t>
            </w:r>
            <w:r>
              <w:rPr>
                <w:rFonts w:ascii="Times New Roman" w:hAnsi="Times New Roman"/>
                <w:b/>
                <w:sz w:val="24"/>
                <w:szCs w:val="24"/>
              </w:rPr>
              <w:t>ach 2019</w:t>
            </w:r>
            <w:r w:rsidR="00A467B6">
              <w:rPr>
                <w:rFonts w:ascii="Times New Roman" w:hAnsi="Times New Roman"/>
                <w:b/>
                <w:sz w:val="24"/>
                <w:szCs w:val="24"/>
              </w:rPr>
              <w:t xml:space="preserve"> i 2</w:t>
            </w:r>
            <w:r>
              <w:rPr>
                <w:rFonts w:ascii="Times New Roman" w:hAnsi="Times New Roman"/>
                <w:b/>
                <w:sz w:val="24"/>
                <w:szCs w:val="24"/>
              </w:rPr>
              <w:t>020</w:t>
            </w:r>
          </w:p>
          <w:bookmarkEnd w:id="7"/>
          <w:p w14:paraId="2C3374A7" w14:textId="377C7866" w:rsidR="009D29AB" w:rsidRPr="009D29AB" w:rsidRDefault="005E26A2" w:rsidP="009D29AB">
            <w:pPr>
              <w:jc w:val="both"/>
              <w:rPr>
                <w:rFonts w:ascii="Times New Roman" w:hAnsi="Times New Roman" w:cs="Times New Roman"/>
                <w:sz w:val="24"/>
                <w:szCs w:val="24"/>
              </w:rPr>
            </w:pPr>
            <w:r w:rsidRPr="005E26A2">
              <w:rPr>
                <w:rFonts w:ascii="Times New Roman" w:hAnsi="Times New Roman"/>
                <w:noProof/>
                <w:sz w:val="24"/>
                <w:szCs w:val="24"/>
                <w:lang w:val="en-US"/>
              </w:rPr>
              <w:drawing>
                <wp:inline distT="0" distB="0" distL="0" distR="0" wp14:anchorId="7035B3ED" wp14:editId="5C4616D0">
                  <wp:extent cx="2909570" cy="2202512"/>
                  <wp:effectExtent l="0" t="0" r="508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91397" cy="2264454"/>
                          </a:xfrm>
                          <a:prstGeom prst="rect">
                            <a:avLst/>
                          </a:prstGeom>
                          <a:noFill/>
                          <a:ln>
                            <a:noFill/>
                          </a:ln>
                        </pic:spPr>
                      </pic:pic>
                    </a:graphicData>
                  </a:graphic>
                </wp:inline>
              </w:drawing>
            </w:r>
          </w:p>
        </w:tc>
        <w:tc>
          <w:tcPr>
            <w:tcW w:w="4926" w:type="dxa"/>
          </w:tcPr>
          <w:p w14:paraId="4D0EEF74" w14:textId="474E8624" w:rsidR="009D29AB" w:rsidRPr="009D29AB" w:rsidRDefault="009D29AB" w:rsidP="009D29AB">
            <w:pPr>
              <w:jc w:val="both"/>
              <w:rPr>
                <w:rFonts w:ascii="Times New Roman" w:hAnsi="Times New Roman" w:cs="Times New Roman"/>
                <w:b/>
                <w:sz w:val="24"/>
                <w:szCs w:val="24"/>
              </w:rPr>
            </w:pPr>
            <w:bookmarkStart w:id="8" w:name="OLE_LINK7"/>
            <w:bookmarkStart w:id="9" w:name="OLE_LINK9"/>
            <w:bookmarkStart w:id="10" w:name="OLE_LINK10"/>
            <w:r>
              <w:rPr>
                <w:rFonts w:ascii="Times New Roman" w:hAnsi="Times New Roman"/>
                <w:b/>
                <w:sz w:val="24"/>
                <w:szCs w:val="24"/>
              </w:rPr>
              <w:t>Wykres 10: Porównanie faktycznych</w:t>
            </w:r>
            <w:r w:rsidR="00A467B6">
              <w:rPr>
                <w:rFonts w:ascii="Times New Roman" w:hAnsi="Times New Roman"/>
                <w:b/>
                <w:sz w:val="24"/>
                <w:szCs w:val="24"/>
              </w:rPr>
              <w:t xml:space="preserve"> i prz</w:t>
            </w:r>
            <w:r>
              <w:rPr>
                <w:rFonts w:ascii="Times New Roman" w:hAnsi="Times New Roman"/>
                <w:b/>
                <w:sz w:val="24"/>
                <w:szCs w:val="24"/>
              </w:rPr>
              <w:t>ewidywanych zmian stóp bezrobocia</w:t>
            </w:r>
            <w:r w:rsidR="00A467B6">
              <w:rPr>
                <w:rFonts w:ascii="Times New Roman" w:hAnsi="Times New Roman"/>
                <w:b/>
                <w:sz w:val="24"/>
                <w:szCs w:val="24"/>
              </w:rPr>
              <w:t xml:space="preserve"> w pod</w:t>
            </w:r>
            <w:r>
              <w:rPr>
                <w:rFonts w:ascii="Times New Roman" w:hAnsi="Times New Roman"/>
                <w:b/>
                <w:sz w:val="24"/>
                <w:szCs w:val="24"/>
              </w:rPr>
              <w:t>ziale na państwa członkowskie korzystające</w:t>
            </w:r>
            <w:r w:rsidR="00A467B6">
              <w:rPr>
                <w:rFonts w:ascii="Times New Roman" w:hAnsi="Times New Roman"/>
                <w:b/>
                <w:sz w:val="24"/>
                <w:szCs w:val="24"/>
              </w:rPr>
              <w:t xml:space="preserve"> z pom</w:t>
            </w:r>
            <w:r>
              <w:rPr>
                <w:rFonts w:ascii="Times New Roman" w:hAnsi="Times New Roman"/>
                <w:b/>
                <w:sz w:val="24"/>
                <w:szCs w:val="24"/>
              </w:rPr>
              <w:t>ocy</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p>
          <w:bookmarkEnd w:id="8"/>
          <w:bookmarkEnd w:id="9"/>
          <w:bookmarkEnd w:id="10"/>
          <w:p w14:paraId="5105053D" w14:textId="135F92FE" w:rsidR="009D29AB" w:rsidRPr="009D29AB" w:rsidRDefault="005E26A2" w:rsidP="009D29AB">
            <w:pPr>
              <w:jc w:val="both"/>
              <w:rPr>
                <w:rFonts w:ascii="Times New Roman" w:hAnsi="Times New Roman" w:cs="Times New Roman"/>
                <w:sz w:val="24"/>
                <w:szCs w:val="24"/>
              </w:rPr>
            </w:pPr>
            <w:r w:rsidRPr="00B837D7">
              <w:rPr>
                <w:rFonts w:ascii="Times New Roman" w:hAnsi="Times New Roman" w:cs="Times New Roman"/>
                <w:noProof/>
                <w:sz w:val="24"/>
                <w:szCs w:val="24"/>
                <w:lang w:val="en-US"/>
              </w:rPr>
              <w:drawing>
                <wp:inline distT="0" distB="0" distL="0" distR="0" wp14:anchorId="5496DD42" wp14:editId="73E3AA88">
                  <wp:extent cx="2963228" cy="2138680"/>
                  <wp:effectExtent l="0" t="0" r="889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89908" cy="2157936"/>
                          </a:xfrm>
                          <a:prstGeom prst="rect">
                            <a:avLst/>
                          </a:prstGeom>
                          <a:noFill/>
                          <a:ln>
                            <a:noFill/>
                          </a:ln>
                        </pic:spPr>
                      </pic:pic>
                    </a:graphicData>
                  </a:graphic>
                </wp:inline>
              </w:drawing>
            </w:r>
          </w:p>
        </w:tc>
      </w:tr>
    </w:tbl>
    <w:p w14:paraId="435FD929" w14:textId="05E0A641" w:rsidR="009D29AB" w:rsidRPr="00A467B6" w:rsidRDefault="009D29AB" w:rsidP="009D29AB">
      <w:pPr>
        <w:spacing w:after="0"/>
        <w:jc w:val="both"/>
        <w:rPr>
          <w:rFonts w:ascii="Times New Roman" w:hAnsi="Times New Roman" w:cs="Times New Roman"/>
          <w:sz w:val="20"/>
          <w:szCs w:val="20"/>
        </w:rPr>
      </w:pPr>
      <w:r>
        <w:rPr>
          <w:rFonts w:ascii="Times New Roman" w:hAnsi="Times New Roman"/>
          <w:sz w:val="20"/>
          <w:szCs w:val="20"/>
        </w:rPr>
        <w:t>Uwaga: oś y: przewidywana zmiana stóp bezrobocia odpowiada prognozie wynikającej</w:t>
      </w:r>
      <w:r w:rsidR="00A467B6">
        <w:rPr>
          <w:rFonts w:ascii="Times New Roman" w:hAnsi="Times New Roman"/>
          <w:sz w:val="20"/>
          <w:szCs w:val="20"/>
        </w:rPr>
        <w:t xml:space="preserve"> z mod</w:t>
      </w:r>
      <w:r>
        <w:rPr>
          <w:rFonts w:ascii="Times New Roman" w:hAnsi="Times New Roman"/>
          <w:sz w:val="20"/>
          <w:szCs w:val="20"/>
        </w:rPr>
        <w:t>elu regresji panelowej dla państw członkowskich korzystających</w:t>
      </w:r>
      <w:r w:rsidR="00A467B6">
        <w:rPr>
          <w:rFonts w:ascii="Times New Roman" w:hAnsi="Times New Roman"/>
          <w:sz w:val="20"/>
          <w:szCs w:val="20"/>
        </w:rPr>
        <w:t xml:space="preserve"> z pom</w:t>
      </w:r>
      <w:r>
        <w:rPr>
          <w:rFonts w:ascii="Times New Roman" w:hAnsi="Times New Roman"/>
          <w:sz w:val="20"/>
          <w:szCs w:val="20"/>
        </w:rPr>
        <w:t>ocy (wykres 9) oraz modelu regresji dla poszczególnych państw (wykres 10) na lata 1999–2019. Analiza opiera się na podejściu prawa Okuna, zgodnie</w:t>
      </w:r>
      <w:r w:rsidR="00A467B6">
        <w:rPr>
          <w:rFonts w:ascii="Times New Roman" w:hAnsi="Times New Roman"/>
          <w:sz w:val="20"/>
          <w:szCs w:val="20"/>
        </w:rPr>
        <w:t xml:space="preserve"> z któ</w:t>
      </w:r>
      <w:r>
        <w:rPr>
          <w:rFonts w:ascii="Times New Roman" w:hAnsi="Times New Roman"/>
          <w:sz w:val="20"/>
          <w:szCs w:val="20"/>
        </w:rPr>
        <w:t>rym zmienna zależna oznacza zmianę stopy bezrobocia,</w:t>
      </w:r>
      <w:r w:rsidR="00A467B6">
        <w:rPr>
          <w:rFonts w:ascii="Times New Roman" w:hAnsi="Times New Roman"/>
          <w:sz w:val="20"/>
          <w:szCs w:val="20"/>
        </w:rPr>
        <w:t xml:space="preserve"> a zmi</w:t>
      </w:r>
      <w:r>
        <w:rPr>
          <w:rFonts w:ascii="Times New Roman" w:hAnsi="Times New Roman"/>
          <w:sz w:val="20"/>
          <w:szCs w:val="20"/>
        </w:rPr>
        <w:t>enna niezależna odnosi się do stopy wzrostu realnego PKB. Specyfikacja uwzględnia (niezmienne</w:t>
      </w:r>
      <w:r w:rsidR="00A467B6">
        <w:rPr>
          <w:rFonts w:ascii="Times New Roman" w:hAnsi="Times New Roman"/>
          <w:sz w:val="20"/>
          <w:szCs w:val="20"/>
        </w:rPr>
        <w:t xml:space="preserve"> w cza</w:t>
      </w:r>
      <w:r>
        <w:rPr>
          <w:rFonts w:ascii="Times New Roman" w:hAnsi="Times New Roman"/>
          <w:sz w:val="20"/>
          <w:szCs w:val="20"/>
        </w:rPr>
        <w:t>sie) cechy rynku pracy poszczególnych państw poprzez efekty stałe dla danego państwa oraz czynniki wspólne dla próby poprzez stałe efekty czasowe. Wyniki wydają się odporne na stosowanie dodatkowych zmiennych niezależnych, takich jak przepisy dotyczące ochrony zatrudnienia oraz zmiana współczynnika aktywności zawodowej. Specyfikacja uwzględnia endogeniczność produkcji przez zastosowanie estymatora uogólnionej metody momentów (GMM) pierwszych różnic. Chorwacji nie uwzględniono</w:t>
      </w:r>
      <w:r w:rsidR="00A467B6">
        <w:rPr>
          <w:rFonts w:ascii="Times New Roman" w:hAnsi="Times New Roman"/>
          <w:sz w:val="20"/>
          <w:szCs w:val="20"/>
        </w:rPr>
        <w:t xml:space="preserve"> z prz</w:t>
      </w:r>
      <w:r>
        <w:rPr>
          <w:rFonts w:ascii="Times New Roman" w:hAnsi="Times New Roman"/>
          <w:sz w:val="20"/>
          <w:szCs w:val="20"/>
        </w:rPr>
        <w:t>yczyn związanych</w:t>
      </w:r>
      <w:r w:rsidR="00A467B6">
        <w:rPr>
          <w:rFonts w:ascii="Times New Roman" w:hAnsi="Times New Roman"/>
          <w:sz w:val="20"/>
          <w:szCs w:val="20"/>
        </w:rPr>
        <w:t xml:space="preserve"> z dos</w:t>
      </w:r>
      <w:r>
        <w:rPr>
          <w:rFonts w:ascii="Times New Roman" w:hAnsi="Times New Roman"/>
          <w:sz w:val="20"/>
          <w:szCs w:val="20"/>
        </w:rPr>
        <w:t>tępnością danych</w:t>
      </w:r>
      <w:r w:rsidR="00A467B6">
        <w:rPr>
          <w:rFonts w:ascii="Times New Roman" w:hAnsi="Times New Roman"/>
          <w:sz w:val="20"/>
          <w:szCs w:val="20"/>
        </w:rPr>
        <w:t>. W por</w:t>
      </w:r>
      <w:r>
        <w:rPr>
          <w:rFonts w:ascii="Times New Roman" w:hAnsi="Times New Roman"/>
          <w:sz w:val="20"/>
          <w:szCs w:val="20"/>
        </w:rPr>
        <w:t>ównaniu</w:t>
      </w:r>
      <w:r w:rsidR="00A467B6">
        <w:rPr>
          <w:rFonts w:ascii="Times New Roman" w:hAnsi="Times New Roman"/>
          <w:sz w:val="20"/>
          <w:szCs w:val="20"/>
        </w:rPr>
        <w:t xml:space="preserve"> z ost</w:t>
      </w:r>
      <w:r>
        <w:rPr>
          <w:rFonts w:ascii="Times New Roman" w:hAnsi="Times New Roman"/>
          <w:sz w:val="20"/>
          <w:szCs w:val="20"/>
        </w:rPr>
        <w:t>atnimi badaniami dotyczącymi prawa Okuna</w:t>
      </w:r>
      <w:r>
        <w:rPr>
          <w:rFonts w:ascii="Times New Roman" w:hAnsi="Times New Roman" w:cs="Times New Roman"/>
          <w:sz w:val="20"/>
          <w:szCs w:val="20"/>
          <w:vertAlign w:val="superscript"/>
          <w:lang w:val="en-US"/>
        </w:rPr>
        <w:footnoteReference w:id="31"/>
      </w:r>
      <w:r>
        <w:rPr>
          <w:rFonts w:ascii="Times New Roman" w:hAnsi="Times New Roman"/>
          <w:sz w:val="20"/>
          <w:szCs w:val="20"/>
        </w:rPr>
        <w:t xml:space="preserve"> zaletą niniejszej analizy jest skupienie się wyłącznie na beneficjentach SURE</w:t>
      </w:r>
      <w:r w:rsidR="00A467B6">
        <w:rPr>
          <w:rFonts w:ascii="Times New Roman" w:hAnsi="Times New Roman"/>
          <w:sz w:val="20"/>
          <w:szCs w:val="20"/>
        </w:rPr>
        <w:t xml:space="preserve"> i pró</w:t>
      </w:r>
      <w:r>
        <w:rPr>
          <w:rFonts w:ascii="Times New Roman" w:hAnsi="Times New Roman"/>
          <w:sz w:val="20"/>
          <w:szCs w:val="20"/>
        </w:rPr>
        <w:t>ba powiązania różnicy między faktycznym</w:t>
      </w:r>
      <w:r w:rsidR="00A467B6">
        <w:rPr>
          <w:rFonts w:ascii="Times New Roman" w:hAnsi="Times New Roman"/>
          <w:sz w:val="20"/>
          <w:szCs w:val="20"/>
        </w:rPr>
        <w:t xml:space="preserve"> a ocz</w:t>
      </w:r>
      <w:r>
        <w:rPr>
          <w:rFonts w:ascii="Times New Roman" w:hAnsi="Times New Roman"/>
          <w:sz w:val="20"/>
          <w:szCs w:val="20"/>
        </w:rPr>
        <w:t>ekiwanym bezrobociem</w:t>
      </w:r>
      <w:r w:rsidR="00A467B6">
        <w:rPr>
          <w:rFonts w:ascii="Times New Roman" w:hAnsi="Times New Roman"/>
          <w:sz w:val="20"/>
          <w:szCs w:val="20"/>
        </w:rPr>
        <w:t xml:space="preserve"> z kwo</w:t>
      </w:r>
      <w:r>
        <w:rPr>
          <w:rFonts w:ascii="Times New Roman" w:hAnsi="Times New Roman"/>
          <w:sz w:val="20"/>
          <w:szCs w:val="20"/>
        </w:rPr>
        <w:t>tą wsparcia</w:t>
      </w:r>
      <w:r w:rsidR="00A467B6">
        <w:rPr>
          <w:rFonts w:ascii="Times New Roman" w:hAnsi="Times New Roman"/>
          <w:sz w:val="20"/>
          <w:szCs w:val="20"/>
        </w:rPr>
        <w:t xml:space="preserve"> w ram</w:t>
      </w:r>
      <w:r>
        <w:rPr>
          <w:rFonts w:ascii="Times New Roman" w:hAnsi="Times New Roman"/>
          <w:sz w:val="20"/>
          <w:szCs w:val="20"/>
        </w:rPr>
        <w:t>ach SURE</w:t>
      </w:r>
      <w:r w:rsidRPr="00A467B6">
        <w:rPr>
          <w:rFonts w:ascii="Times New Roman" w:hAnsi="Times New Roman"/>
          <w:sz w:val="20"/>
          <w:szCs w:val="20"/>
        </w:rPr>
        <w:t>.</w:t>
      </w:r>
      <w:r w:rsidR="00A467B6" w:rsidRPr="00A467B6">
        <w:rPr>
          <w:rFonts w:ascii="Times New Roman" w:hAnsi="Times New Roman"/>
          <w:sz w:val="20"/>
          <w:szCs w:val="20"/>
        </w:rPr>
        <w:t xml:space="preserve"> </w:t>
      </w:r>
    </w:p>
    <w:p w14:paraId="4F1AE424" w14:textId="73A9397E"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 xml:space="preserve">Źródło: </w:t>
      </w:r>
      <w:r>
        <w:rPr>
          <w:rFonts w:ascii="Times New Roman" w:hAnsi="Times New Roman"/>
          <w:i/>
          <w:sz w:val="20"/>
          <w:szCs w:val="24"/>
        </w:rPr>
        <w:t>Prognoza Komisji</w:t>
      </w:r>
      <w:r w:rsidR="00A467B6">
        <w:rPr>
          <w:rFonts w:ascii="Times New Roman" w:hAnsi="Times New Roman"/>
          <w:i/>
          <w:sz w:val="20"/>
          <w:szCs w:val="24"/>
        </w:rPr>
        <w:t xml:space="preserve"> z jes</w:t>
      </w:r>
      <w:r>
        <w:rPr>
          <w:rFonts w:ascii="Times New Roman" w:hAnsi="Times New Roman"/>
          <w:i/>
          <w:sz w:val="20"/>
          <w:szCs w:val="24"/>
        </w:rPr>
        <w:t>ieni 20</w:t>
      </w:r>
      <w:r w:rsidRPr="00A467B6">
        <w:rPr>
          <w:rFonts w:ascii="Times New Roman" w:hAnsi="Times New Roman"/>
          <w:i/>
          <w:sz w:val="20"/>
          <w:szCs w:val="24"/>
        </w:rPr>
        <w:t>20</w:t>
      </w:r>
      <w:r w:rsidR="00A467B6" w:rsidRPr="00A467B6">
        <w:rPr>
          <w:rFonts w:ascii="Times New Roman" w:hAnsi="Times New Roman"/>
          <w:i/>
          <w:sz w:val="20"/>
          <w:szCs w:val="24"/>
        </w:rPr>
        <w:t> </w:t>
      </w:r>
      <w:r w:rsidRPr="00A467B6">
        <w:rPr>
          <w:rFonts w:ascii="Times New Roman" w:hAnsi="Times New Roman"/>
          <w:i/>
          <w:sz w:val="20"/>
          <w:szCs w:val="24"/>
        </w:rPr>
        <w:t>r.</w:t>
      </w:r>
      <w:r>
        <w:rPr>
          <w:rFonts w:ascii="Times New Roman" w:hAnsi="Times New Roman"/>
          <w:i/>
          <w:sz w:val="20"/>
          <w:szCs w:val="24"/>
        </w:rPr>
        <w:t xml:space="preserve">, dane dot. zagregowanego bezrobocia </w:t>
      </w:r>
      <w:r w:rsidRPr="00A467B6">
        <w:rPr>
          <w:rFonts w:ascii="Times New Roman" w:hAnsi="Times New Roman"/>
          <w:i/>
          <w:sz w:val="20"/>
          <w:szCs w:val="24"/>
        </w:rPr>
        <w:t>za</w:t>
      </w:r>
      <w:r w:rsidR="00A467B6" w:rsidRPr="00A467B6">
        <w:rPr>
          <w:rFonts w:ascii="Times New Roman" w:hAnsi="Times New Roman"/>
          <w:i/>
          <w:sz w:val="20"/>
          <w:szCs w:val="24"/>
        </w:rPr>
        <w:t> </w:t>
      </w:r>
      <w:r w:rsidRPr="00A467B6">
        <w:rPr>
          <w:rFonts w:ascii="Times New Roman" w:hAnsi="Times New Roman"/>
          <w:i/>
          <w:sz w:val="20"/>
          <w:szCs w:val="24"/>
        </w:rPr>
        <w:t>2</w:t>
      </w:r>
      <w:r>
        <w:rPr>
          <w:rFonts w:ascii="Times New Roman" w:hAnsi="Times New Roman"/>
          <w:i/>
          <w:sz w:val="20"/>
          <w:szCs w:val="24"/>
        </w:rPr>
        <w:t>0</w:t>
      </w:r>
      <w:r w:rsidRPr="00A467B6">
        <w:rPr>
          <w:rFonts w:ascii="Times New Roman" w:hAnsi="Times New Roman"/>
          <w:i/>
          <w:sz w:val="20"/>
          <w:szCs w:val="24"/>
        </w:rPr>
        <w:t>20</w:t>
      </w:r>
      <w:r w:rsidR="00A467B6" w:rsidRPr="00A467B6">
        <w:rPr>
          <w:rFonts w:ascii="Times New Roman" w:hAnsi="Times New Roman"/>
          <w:i/>
          <w:sz w:val="20"/>
          <w:szCs w:val="24"/>
        </w:rPr>
        <w:t> </w:t>
      </w:r>
      <w:r w:rsidRPr="00A467B6">
        <w:rPr>
          <w:rFonts w:ascii="Times New Roman" w:hAnsi="Times New Roman"/>
          <w:i/>
          <w:sz w:val="20"/>
          <w:szCs w:val="24"/>
        </w:rPr>
        <w:t>r.</w:t>
      </w:r>
      <w:r>
        <w:rPr>
          <w:rFonts w:ascii="Times New Roman" w:hAnsi="Times New Roman"/>
          <w:i/>
          <w:sz w:val="20"/>
          <w:szCs w:val="24"/>
        </w:rPr>
        <w:t xml:space="preserve"> pochodzą</w:t>
      </w:r>
      <w:r w:rsidR="00A467B6">
        <w:rPr>
          <w:rFonts w:ascii="Times New Roman" w:hAnsi="Times New Roman"/>
          <w:i/>
          <w:sz w:val="20"/>
          <w:szCs w:val="24"/>
        </w:rPr>
        <w:t xml:space="preserve"> z Eur</w:t>
      </w:r>
      <w:r>
        <w:rPr>
          <w:rFonts w:ascii="Times New Roman" w:hAnsi="Times New Roman"/>
          <w:i/>
          <w:sz w:val="20"/>
          <w:szCs w:val="24"/>
        </w:rPr>
        <w:t>ostatu (zob. uwaga do wykresu 8)</w:t>
      </w:r>
      <w:r>
        <w:rPr>
          <w:rFonts w:ascii="Times New Roman" w:hAnsi="Times New Roman"/>
          <w:i/>
          <w:sz w:val="20"/>
          <w:szCs w:val="20"/>
        </w:rPr>
        <w:t>.</w:t>
      </w:r>
    </w:p>
    <w:p w14:paraId="55AF28A5" w14:textId="77777777" w:rsidR="009D29AB" w:rsidRPr="000C43EC" w:rsidRDefault="009D29AB" w:rsidP="009D29AB">
      <w:pPr>
        <w:spacing w:after="0"/>
        <w:jc w:val="both"/>
        <w:rPr>
          <w:rFonts w:ascii="Times New Roman" w:hAnsi="Times New Roman" w:cs="Times New Roman"/>
          <w:i/>
          <w:sz w:val="20"/>
          <w:szCs w:val="20"/>
        </w:rPr>
      </w:pPr>
    </w:p>
    <w:p w14:paraId="3BB72D8A" w14:textId="02B2D6D1" w:rsidR="009D29AB" w:rsidRPr="009D29AB" w:rsidRDefault="009D29AB" w:rsidP="009D29AB">
      <w:pPr>
        <w:jc w:val="both"/>
        <w:rPr>
          <w:rFonts w:ascii="Times New Roman" w:hAnsi="Times New Roman" w:cs="Times New Roman"/>
          <w:b/>
          <w:sz w:val="24"/>
          <w:szCs w:val="24"/>
        </w:rPr>
      </w:pPr>
      <w:r>
        <w:rPr>
          <w:rFonts w:ascii="Times New Roman" w:hAnsi="Times New Roman"/>
          <w:b/>
          <w:sz w:val="24"/>
          <w:szCs w:val="24"/>
        </w:rPr>
        <w:t>Kluczowym powodem łagodniejszego wzrostu stóp bezrobocia</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r>
        <w:rPr>
          <w:rFonts w:ascii="Times New Roman" w:hAnsi="Times New Roman"/>
          <w:b/>
          <w:sz w:val="24"/>
          <w:szCs w:val="24"/>
        </w:rPr>
        <w:t xml:space="preserve"> były środki wsparcia realizacji polityki,</w:t>
      </w:r>
      <w:r w:rsidR="00A467B6">
        <w:rPr>
          <w:rFonts w:ascii="Times New Roman" w:hAnsi="Times New Roman"/>
          <w:b/>
          <w:sz w:val="24"/>
          <w:szCs w:val="24"/>
        </w:rPr>
        <w:t xml:space="preserve"> w tym</w:t>
      </w:r>
      <w:r>
        <w:rPr>
          <w:rFonts w:ascii="Times New Roman" w:hAnsi="Times New Roman"/>
          <w:b/>
          <w:sz w:val="24"/>
          <w:szCs w:val="24"/>
        </w:rPr>
        <w:t xml:space="preserve"> SURE (wykres 11). </w:t>
      </w:r>
      <w:r>
        <w:rPr>
          <w:rFonts w:ascii="Times New Roman" w:hAnsi="Times New Roman"/>
          <w:sz w:val="24"/>
          <w:szCs w:val="24"/>
        </w:rPr>
        <w:t>Na podstawie wstępnych dowodów mniejszy niż oczekiwano wzrost bezrobocia można częściowo przypisać powszechnemu stosowaniu mechanizmów zmniejszonego wymiaru czasu pracy,</w:t>
      </w:r>
      <w:r w:rsidR="00A467B6">
        <w:rPr>
          <w:rFonts w:ascii="Times New Roman" w:hAnsi="Times New Roman"/>
          <w:sz w:val="24"/>
          <w:szCs w:val="24"/>
        </w:rPr>
        <w:t xml:space="preserve"> w tym w pań</w:t>
      </w:r>
      <w:r>
        <w:rPr>
          <w:rFonts w:ascii="Times New Roman" w:hAnsi="Times New Roman"/>
          <w:sz w:val="24"/>
          <w:szCs w:val="24"/>
        </w:rPr>
        <w:t>stwach członkowskich korzystających z SURE. Mechanizmy te pomogły</w:t>
      </w:r>
      <w:r w:rsidR="00A467B6">
        <w:rPr>
          <w:rFonts w:ascii="Times New Roman" w:hAnsi="Times New Roman"/>
          <w:sz w:val="24"/>
          <w:szCs w:val="24"/>
        </w:rPr>
        <w:t xml:space="preserve"> w utr</w:t>
      </w:r>
      <w:r>
        <w:rPr>
          <w:rFonts w:ascii="Times New Roman" w:hAnsi="Times New Roman"/>
          <w:sz w:val="24"/>
          <w:szCs w:val="24"/>
        </w:rPr>
        <w:t>zymaniu zatrudnienia</w:t>
      </w:r>
      <w:r w:rsidR="00A467B6">
        <w:rPr>
          <w:rFonts w:ascii="Times New Roman" w:hAnsi="Times New Roman"/>
          <w:sz w:val="24"/>
          <w:szCs w:val="24"/>
        </w:rPr>
        <w:t xml:space="preserve"> i ogr</w:t>
      </w:r>
      <w:r>
        <w:rPr>
          <w:rFonts w:ascii="Times New Roman" w:hAnsi="Times New Roman"/>
          <w:sz w:val="24"/>
          <w:szCs w:val="24"/>
        </w:rPr>
        <w:t>aniczyły wzrost bezrobocia. Inne czynniki związane są</w:t>
      </w:r>
      <w:r w:rsidR="00A467B6">
        <w:rPr>
          <w:rFonts w:ascii="Times New Roman" w:hAnsi="Times New Roman"/>
          <w:sz w:val="24"/>
          <w:szCs w:val="24"/>
        </w:rPr>
        <w:t xml:space="preserve"> z </w:t>
      </w:r>
      <w:r w:rsidR="00A467B6">
        <w:rPr>
          <w:rFonts w:ascii="Times New Roman" w:hAnsi="Times New Roman"/>
          <w:color w:val="000000" w:themeColor="text1"/>
          <w:sz w:val="24"/>
          <w:szCs w:val="24"/>
        </w:rPr>
        <w:t>fak</w:t>
      </w:r>
      <w:r>
        <w:rPr>
          <w:rFonts w:ascii="Times New Roman" w:hAnsi="Times New Roman"/>
          <w:color w:val="000000" w:themeColor="text1"/>
          <w:sz w:val="24"/>
          <w:szCs w:val="24"/>
        </w:rPr>
        <w:t>tem, że ludzie nie byli</w:t>
      </w:r>
      <w:r w:rsidR="00A467B6">
        <w:rPr>
          <w:rFonts w:ascii="Times New Roman" w:hAnsi="Times New Roman"/>
          <w:color w:val="000000" w:themeColor="text1"/>
          <w:sz w:val="24"/>
          <w:szCs w:val="24"/>
        </w:rPr>
        <w:t xml:space="preserve"> w sta</w:t>
      </w:r>
      <w:r>
        <w:rPr>
          <w:rFonts w:ascii="Times New Roman" w:hAnsi="Times New Roman"/>
          <w:color w:val="000000" w:themeColor="text1"/>
          <w:sz w:val="24"/>
          <w:szCs w:val="24"/>
        </w:rPr>
        <w:t>nie aktywnie poszukiwać pracy ze względu na zamknięcie dużych części gospodarki albo byli do tego zniechęcani</w:t>
      </w:r>
      <w:r>
        <w:rPr>
          <w:rFonts w:ascii="Times New Roman" w:hAnsi="Times New Roman"/>
          <w:color w:val="000000" w:themeColor="text1"/>
          <w:sz w:val="24"/>
        </w:rPr>
        <w:t>.</w:t>
      </w:r>
    </w:p>
    <w:p w14:paraId="7D5ADAAD" w14:textId="77777777" w:rsidR="009D29AB" w:rsidRPr="000C43EC" w:rsidRDefault="009D29AB" w:rsidP="009D29AB">
      <w:pPr>
        <w:spacing w:after="0"/>
        <w:jc w:val="both"/>
        <w:rPr>
          <w:rFonts w:ascii="Times New Roman" w:hAnsi="Times New Roman" w:cs="Times New Roman"/>
          <w:i/>
          <w:sz w:val="20"/>
          <w:szCs w:val="20"/>
        </w:rPr>
      </w:pPr>
    </w:p>
    <w:p w14:paraId="21840CFF" w14:textId="77777777" w:rsidR="009D29AB" w:rsidRPr="009D29AB" w:rsidRDefault="009D29AB" w:rsidP="009D29AB">
      <w:pPr>
        <w:rPr>
          <w:rFonts w:ascii="Times New Roman" w:hAnsi="Times New Roman" w:cs="Times New Roman"/>
          <w:b/>
          <w:sz w:val="24"/>
          <w:szCs w:val="24"/>
        </w:rPr>
      </w:pPr>
      <w:r>
        <w:br w:type="page"/>
      </w:r>
    </w:p>
    <w:p w14:paraId="61F346B6" w14:textId="704A1328" w:rsidR="009D29AB" w:rsidRPr="009D29AB" w:rsidRDefault="009D29AB" w:rsidP="009D29AB">
      <w:pPr>
        <w:jc w:val="both"/>
        <w:rPr>
          <w:rFonts w:ascii="Times New Roman" w:hAnsi="Times New Roman" w:cs="Times New Roman"/>
          <w:sz w:val="24"/>
          <w:szCs w:val="24"/>
        </w:rPr>
      </w:pPr>
      <w:bookmarkStart w:id="11" w:name="OLE_LINK8"/>
      <w:r>
        <w:rPr>
          <w:rFonts w:ascii="Times New Roman" w:hAnsi="Times New Roman"/>
          <w:b/>
          <w:sz w:val="24"/>
          <w:szCs w:val="24"/>
        </w:rPr>
        <w:t>Wykres 11: Relacja między zmianą stopy bezrobocia</w:t>
      </w:r>
      <w:r w:rsidR="00A467B6">
        <w:rPr>
          <w:rFonts w:ascii="Times New Roman" w:hAnsi="Times New Roman"/>
          <w:b/>
          <w:sz w:val="24"/>
          <w:szCs w:val="24"/>
        </w:rPr>
        <w:t xml:space="preserve"> w 2</w:t>
      </w:r>
      <w:r>
        <w:rPr>
          <w:rFonts w:ascii="Times New Roman" w:hAnsi="Times New Roman"/>
          <w:b/>
          <w:sz w:val="24"/>
          <w:szCs w:val="24"/>
        </w:rPr>
        <w:t>0</w:t>
      </w:r>
      <w:r w:rsidRPr="00A467B6">
        <w:rPr>
          <w:rFonts w:ascii="Times New Roman" w:hAnsi="Times New Roman"/>
          <w:b/>
          <w:sz w:val="24"/>
          <w:szCs w:val="24"/>
        </w:rPr>
        <w:t>20</w:t>
      </w:r>
      <w:r w:rsidR="00A467B6" w:rsidRPr="00A467B6">
        <w:rPr>
          <w:rFonts w:ascii="Times New Roman" w:hAnsi="Times New Roman"/>
          <w:b/>
          <w:sz w:val="24"/>
          <w:szCs w:val="24"/>
        </w:rPr>
        <w:t> </w:t>
      </w:r>
      <w:r w:rsidRPr="00A467B6">
        <w:rPr>
          <w:rFonts w:ascii="Times New Roman" w:hAnsi="Times New Roman"/>
          <w:b/>
          <w:sz w:val="24"/>
          <w:szCs w:val="24"/>
        </w:rPr>
        <w:t>r.</w:t>
      </w:r>
      <w:r w:rsidR="00A467B6">
        <w:rPr>
          <w:rFonts w:ascii="Times New Roman" w:hAnsi="Times New Roman"/>
          <w:b/>
          <w:sz w:val="24"/>
          <w:szCs w:val="24"/>
        </w:rPr>
        <w:t xml:space="preserve"> a zat</w:t>
      </w:r>
      <w:r>
        <w:rPr>
          <w:rFonts w:ascii="Times New Roman" w:hAnsi="Times New Roman"/>
          <w:b/>
          <w:sz w:val="24"/>
          <w:szCs w:val="24"/>
        </w:rPr>
        <w:t>wierdzonym finansowaniem SURE</w:t>
      </w:r>
    </w:p>
    <w:bookmarkEnd w:id="11"/>
    <w:p w14:paraId="4CEC972C" w14:textId="73861477" w:rsidR="009D29AB" w:rsidRPr="009D29AB" w:rsidRDefault="005E26A2" w:rsidP="009D29AB">
      <w:pPr>
        <w:jc w:val="center"/>
        <w:rPr>
          <w:rFonts w:ascii="Times New Roman" w:hAnsi="Times New Roman" w:cs="Times New Roman"/>
        </w:rPr>
      </w:pPr>
      <w:r w:rsidRPr="005E26A2">
        <w:rPr>
          <w:noProof/>
          <w:lang w:val="en-US"/>
        </w:rPr>
        <w:drawing>
          <wp:inline distT="0" distB="0" distL="0" distR="0" wp14:anchorId="26CA54F3" wp14:editId="712AE896">
            <wp:extent cx="3402965" cy="3013710"/>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02965" cy="3013710"/>
                    </a:xfrm>
                    <a:prstGeom prst="rect">
                      <a:avLst/>
                    </a:prstGeom>
                    <a:noFill/>
                    <a:ln>
                      <a:noFill/>
                    </a:ln>
                  </pic:spPr>
                </pic:pic>
              </a:graphicData>
            </a:graphic>
          </wp:inline>
        </w:drawing>
      </w:r>
    </w:p>
    <w:p w14:paraId="2B7051C5" w14:textId="27160891" w:rsidR="009D29AB" w:rsidRPr="009D29AB" w:rsidRDefault="009D29AB" w:rsidP="009D29AB">
      <w:pPr>
        <w:spacing w:after="0"/>
        <w:jc w:val="both"/>
        <w:rPr>
          <w:rFonts w:ascii="Times New Roman" w:hAnsi="Times New Roman" w:cs="Times New Roman"/>
          <w:sz w:val="20"/>
          <w:szCs w:val="20"/>
        </w:rPr>
      </w:pPr>
      <w:r>
        <w:rPr>
          <w:rFonts w:ascii="Times New Roman" w:hAnsi="Times New Roman"/>
          <w:sz w:val="20"/>
          <w:szCs w:val="20"/>
        </w:rPr>
        <w:t>Uwaga: oś y: Przewidywana zmiana stóp bezrobocia wynika</w:t>
      </w:r>
      <w:r w:rsidR="00A467B6">
        <w:rPr>
          <w:rFonts w:ascii="Times New Roman" w:hAnsi="Times New Roman"/>
          <w:sz w:val="20"/>
          <w:szCs w:val="20"/>
        </w:rPr>
        <w:t xml:space="preserve"> z mod</w:t>
      </w:r>
      <w:r>
        <w:rPr>
          <w:rFonts w:ascii="Times New Roman" w:hAnsi="Times New Roman"/>
          <w:sz w:val="20"/>
          <w:szCs w:val="20"/>
        </w:rPr>
        <w:t>elu regresji dla poszczególnych państw przedstawionego na wykresie 10</w:t>
      </w:r>
      <w:r w:rsidR="00A467B6">
        <w:rPr>
          <w:rFonts w:ascii="Times New Roman" w:hAnsi="Times New Roman"/>
          <w:sz w:val="20"/>
          <w:szCs w:val="20"/>
        </w:rPr>
        <w:t xml:space="preserve"> i wyj</w:t>
      </w:r>
      <w:r>
        <w:rPr>
          <w:rFonts w:ascii="Times New Roman" w:hAnsi="Times New Roman"/>
          <w:sz w:val="20"/>
          <w:szCs w:val="20"/>
        </w:rPr>
        <w:t>aśnionego</w:t>
      </w:r>
      <w:r w:rsidR="00A467B6">
        <w:rPr>
          <w:rFonts w:ascii="Times New Roman" w:hAnsi="Times New Roman"/>
          <w:sz w:val="20"/>
          <w:szCs w:val="20"/>
        </w:rPr>
        <w:t xml:space="preserve"> w uwa</w:t>
      </w:r>
      <w:r>
        <w:rPr>
          <w:rFonts w:ascii="Times New Roman" w:hAnsi="Times New Roman"/>
          <w:sz w:val="20"/>
          <w:szCs w:val="20"/>
        </w:rPr>
        <w:t>dze do wykresów 9</w:t>
      </w:r>
      <w:r w:rsidR="00A467B6">
        <w:rPr>
          <w:rFonts w:ascii="Times New Roman" w:hAnsi="Times New Roman"/>
          <w:sz w:val="20"/>
          <w:szCs w:val="20"/>
        </w:rPr>
        <w:t xml:space="preserve"> i 1</w:t>
      </w:r>
      <w:r>
        <w:rPr>
          <w:rFonts w:ascii="Times New Roman" w:hAnsi="Times New Roman"/>
          <w:sz w:val="20"/>
          <w:szCs w:val="20"/>
        </w:rPr>
        <w:t xml:space="preserve">0. </w:t>
      </w:r>
    </w:p>
    <w:p w14:paraId="0EFDC3CB" w14:textId="3A221569" w:rsidR="009D29AB" w:rsidRPr="009D29AB" w:rsidRDefault="009D29AB" w:rsidP="009D29AB">
      <w:pPr>
        <w:spacing w:after="0"/>
        <w:jc w:val="both"/>
        <w:rPr>
          <w:rFonts w:ascii="Times New Roman" w:hAnsi="Times New Roman" w:cs="Times New Roman"/>
          <w:i/>
          <w:sz w:val="20"/>
          <w:szCs w:val="20"/>
        </w:rPr>
      </w:pPr>
      <w:r>
        <w:rPr>
          <w:rFonts w:ascii="Times New Roman" w:hAnsi="Times New Roman"/>
          <w:sz w:val="20"/>
          <w:szCs w:val="20"/>
        </w:rPr>
        <w:t>Źródło:</w:t>
      </w:r>
      <w:r>
        <w:rPr>
          <w:rFonts w:ascii="Times New Roman" w:hAnsi="Times New Roman"/>
          <w:i/>
          <w:sz w:val="20"/>
          <w:szCs w:val="20"/>
        </w:rPr>
        <w:t xml:space="preserve"> </w:t>
      </w:r>
      <w:r>
        <w:rPr>
          <w:rFonts w:ascii="Times New Roman" w:hAnsi="Times New Roman"/>
          <w:i/>
          <w:sz w:val="20"/>
          <w:szCs w:val="24"/>
        </w:rPr>
        <w:t>prognoza Komisji</w:t>
      </w:r>
      <w:r w:rsidR="00A467B6">
        <w:rPr>
          <w:rFonts w:ascii="Times New Roman" w:hAnsi="Times New Roman"/>
          <w:i/>
          <w:sz w:val="20"/>
          <w:szCs w:val="24"/>
        </w:rPr>
        <w:t xml:space="preserve"> z jes</w:t>
      </w:r>
      <w:r>
        <w:rPr>
          <w:rFonts w:ascii="Times New Roman" w:hAnsi="Times New Roman"/>
          <w:i/>
          <w:sz w:val="20"/>
          <w:szCs w:val="24"/>
        </w:rPr>
        <w:t>ieni 20</w:t>
      </w:r>
      <w:r w:rsidRPr="00A467B6">
        <w:rPr>
          <w:rFonts w:ascii="Times New Roman" w:hAnsi="Times New Roman"/>
          <w:i/>
          <w:sz w:val="20"/>
          <w:szCs w:val="24"/>
        </w:rPr>
        <w:t>20</w:t>
      </w:r>
      <w:r w:rsidR="00A467B6" w:rsidRPr="00A467B6">
        <w:rPr>
          <w:rFonts w:ascii="Times New Roman" w:hAnsi="Times New Roman"/>
          <w:i/>
          <w:sz w:val="20"/>
          <w:szCs w:val="24"/>
        </w:rPr>
        <w:t> </w:t>
      </w:r>
      <w:r w:rsidRPr="00A467B6">
        <w:rPr>
          <w:rFonts w:ascii="Times New Roman" w:hAnsi="Times New Roman"/>
          <w:i/>
          <w:sz w:val="20"/>
          <w:szCs w:val="24"/>
        </w:rPr>
        <w:t>r.</w:t>
      </w:r>
    </w:p>
    <w:p w14:paraId="384CF254" w14:textId="77777777" w:rsidR="009D29AB" w:rsidRPr="009D29AB" w:rsidRDefault="009D29AB" w:rsidP="00D61F7B">
      <w:pPr>
        <w:spacing w:after="0"/>
        <w:jc w:val="both"/>
        <w:rPr>
          <w:rFonts w:ascii="Times New Roman" w:hAnsi="Times New Roman" w:cs="Times New Roman"/>
          <w:i/>
          <w:sz w:val="20"/>
          <w:szCs w:val="20"/>
        </w:rPr>
      </w:pPr>
    </w:p>
    <w:p w14:paraId="7AF9411A" w14:textId="047AD849" w:rsidR="009D29AB" w:rsidRPr="009D29AB" w:rsidRDefault="009D29AB" w:rsidP="00D61F7B">
      <w:pPr>
        <w:numPr>
          <w:ilvl w:val="1"/>
          <w:numId w:val="22"/>
        </w:numPr>
        <w:spacing w:before="120" w:after="120" w:line="240" w:lineRule="auto"/>
        <w:ind w:left="851"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Czynniki kształtujące wpływ SURE: dyskusja</w:t>
      </w:r>
      <w:r w:rsidR="00A467B6">
        <w:rPr>
          <w:rFonts w:ascii="Times New Roman" w:hAnsi="Times New Roman"/>
          <w:i/>
          <w:color w:val="000000" w:themeColor="text1"/>
          <w:sz w:val="24"/>
          <w:szCs w:val="24"/>
        </w:rPr>
        <w:t xml:space="preserve"> i wyn</w:t>
      </w:r>
      <w:r>
        <w:rPr>
          <w:rFonts w:ascii="Times New Roman" w:hAnsi="Times New Roman"/>
          <w:i/>
          <w:color w:val="000000" w:themeColor="text1"/>
          <w:sz w:val="24"/>
          <w:szCs w:val="24"/>
        </w:rPr>
        <w:t>iki oparte na ankiecie</w:t>
      </w:r>
    </w:p>
    <w:p w14:paraId="47437250" w14:textId="2ACE74FC"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Wpływ SURE wykracza poza utrzymanie miejsc pracy.</w:t>
      </w:r>
      <w:r>
        <w:rPr>
          <w:rFonts w:ascii="Times New Roman" w:hAnsi="Times New Roman"/>
          <w:color w:val="000000" w:themeColor="text1"/>
          <w:sz w:val="24"/>
          <w:szCs w:val="24"/>
        </w:rPr>
        <w:t xml:space="preserve"> Można wyróżnić trzy dodatkowe skutki: zwiększenie zaufania</w:t>
      </w:r>
      <w:r w:rsidR="00A467B6">
        <w:rPr>
          <w:rFonts w:ascii="Times New Roman" w:hAnsi="Times New Roman"/>
          <w:color w:val="000000" w:themeColor="text1"/>
          <w:sz w:val="24"/>
          <w:szCs w:val="24"/>
        </w:rPr>
        <w:t xml:space="preserve"> w cał</w:t>
      </w:r>
      <w:r>
        <w:rPr>
          <w:rFonts w:ascii="Times New Roman" w:hAnsi="Times New Roman"/>
          <w:color w:val="000000" w:themeColor="text1"/>
          <w:sz w:val="24"/>
          <w:szCs w:val="24"/>
        </w:rPr>
        <w:t>ej UE, wspieranie przez UE korzystania</w:t>
      </w:r>
      <w:r w:rsidR="00A467B6">
        <w:rPr>
          <w:rFonts w:ascii="Times New Roman" w:hAnsi="Times New Roman"/>
          <w:color w:val="000000" w:themeColor="text1"/>
          <w:sz w:val="24"/>
          <w:szCs w:val="24"/>
        </w:rPr>
        <w:t xml:space="preserve"> z mec</w:t>
      </w:r>
      <w:r>
        <w:rPr>
          <w:rFonts w:ascii="Times New Roman" w:hAnsi="Times New Roman"/>
          <w:color w:val="000000" w:themeColor="text1"/>
          <w:sz w:val="24"/>
          <w:szCs w:val="24"/>
        </w:rPr>
        <w:t>hanizmów zmniejszonego wymiaru czasu pracy</w:t>
      </w:r>
      <w:r w:rsidR="00A467B6">
        <w:rPr>
          <w:rFonts w:ascii="Times New Roman" w:hAnsi="Times New Roman"/>
          <w:color w:val="000000" w:themeColor="text1"/>
          <w:sz w:val="24"/>
          <w:szCs w:val="24"/>
        </w:rPr>
        <w:t xml:space="preserve"> i zac</w:t>
      </w:r>
      <w:r>
        <w:rPr>
          <w:rFonts w:ascii="Times New Roman" w:hAnsi="Times New Roman"/>
          <w:color w:val="000000" w:themeColor="text1"/>
          <w:sz w:val="24"/>
          <w:szCs w:val="24"/>
        </w:rPr>
        <w:t>hęcenie do niego oraz umożliwienie państwom członkowskim większych niż</w:t>
      </w:r>
      <w:r w:rsidR="00A467B6">
        <w:rPr>
          <w:rFonts w:ascii="Times New Roman" w:hAnsi="Times New Roman"/>
          <w:color w:val="000000" w:themeColor="text1"/>
          <w:sz w:val="24"/>
          <w:szCs w:val="24"/>
        </w:rPr>
        <w:t xml:space="preserve"> w inn</w:t>
      </w:r>
      <w:r>
        <w:rPr>
          <w:rFonts w:ascii="Times New Roman" w:hAnsi="Times New Roman"/>
          <w:color w:val="000000" w:themeColor="text1"/>
          <w:sz w:val="24"/>
          <w:szCs w:val="24"/>
        </w:rPr>
        <w:t>ych okolicznościach wydatków na wsparcie zatrudnienia.</w:t>
      </w:r>
      <w:r>
        <w:rPr>
          <w:rFonts w:ascii="Times New Roman" w:hAnsi="Times New Roman"/>
        </w:rPr>
        <w:t xml:space="preserve"> </w:t>
      </w:r>
      <w:r>
        <w:rPr>
          <w:rFonts w:ascii="Times New Roman" w:hAnsi="Times New Roman"/>
          <w:color w:val="000000" w:themeColor="text1"/>
          <w:sz w:val="24"/>
          <w:szCs w:val="24"/>
        </w:rPr>
        <w:t>Trudno jest jednak empirycznie oszacować te skutki.</w:t>
      </w:r>
    </w:p>
    <w:p w14:paraId="01854840" w14:textId="66A4AFD5" w:rsidR="009D29AB" w:rsidRPr="009D29AB" w:rsidRDefault="009D29AB" w:rsidP="009D29AB">
      <w:pPr>
        <w:spacing w:before="120" w:after="60"/>
        <w:jc w:val="both"/>
        <w:rPr>
          <w:rFonts w:ascii="Times New Roman" w:hAnsi="Times New Roman" w:cs="Times New Roman"/>
          <w:sz w:val="24"/>
        </w:rPr>
      </w:pPr>
      <w:r>
        <w:rPr>
          <w:rFonts w:ascii="Times New Roman" w:hAnsi="Times New Roman"/>
          <w:b/>
          <w:sz w:val="24"/>
        </w:rPr>
        <w:t>Po pierwsze, SURE przyczynił się do zwiększenia ogólnego zaufania do zdolności UE</w:t>
      </w:r>
      <w:r w:rsidR="00A467B6">
        <w:rPr>
          <w:rFonts w:ascii="Times New Roman" w:hAnsi="Times New Roman"/>
          <w:b/>
          <w:sz w:val="24"/>
        </w:rPr>
        <w:t xml:space="preserve"> w zak</w:t>
      </w:r>
      <w:r>
        <w:rPr>
          <w:rFonts w:ascii="Times New Roman" w:hAnsi="Times New Roman"/>
          <w:b/>
          <w:sz w:val="24"/>
        </w:rPr>
        <w:t xml:space="preserve">resie skutecznego reagowania na bezprecedensowy kryzys. </w:t>
      </w:r>
      <w:r>
        <w:rPr>
          <w:rFonts w:ascii="Times New Roman" w:hAnsi="Times New Roman"/>
          <w:sz w:val="24"/>
        </w:rPr>
        <w:t>Zdolność państw członkowskich do osiągnięcia porozumienia</w:t>
      </w:r>
      <w:r w:rsidR="00A467B6">
        <w:rPr>
          <w:rFonts w:ascii="Times New Roman" w:hAnsi="Times New Roman"/>
          <w:sz w:val="24"/>
        </w:rPr>
        <w:t xml:space="preserve"> w spr</w:t>
      </w:r>
      <w:r>
        <w:rPr>
          <w:rFonts w:ascii="Times New Roman" w:hAnsi="Times New Roman"/>
          <w:sz w:val="24"/>
        </w:rPr>
        <w:t xml:space="preserve">awie SURE – nowego, innowacyjnego rodzaju pomocy finansowej na podstawie </w:t>
      </w:r>
      <w:r w:rsidRPr="00A467B6">
        <w:rPr>
          <w:rFonts w:ascii="Times New Roman" w:hAnsi="Times New Roman"/>
          <w:sz w:val="24"/>
        </w:rPr>
        <w:t>art.</w:t>
      </w:r>
      <w:r w:rsidR="00A467B6" w:rsidRPr="00A467B6">
        <w:rPr>
          <w:rFonts w:ascii="Times New Roman" w:hAnsi="Times New Roman"/>
          <w:sz w:val="24"/>
        </w:rPr>
        <w:t> </w:t>
      </w:r>
      <w:r w:rsidRPr="00A467B6">
        <w:rPr>
          <w:rFonts w:ascii="Times New Roman" w:hAnsi="Times New Roman"/>
          <w:sz w:val="24"/>
        </w:rPr>
        <w:t>1</w:t>
      </w:r>
      <w:r>
        <w:rPr>
          <w:rFonts w:ascii="Times New Roman" w:hAnsi="Times New Roman"/>
          <w:sz w:val="24"/>
        </w:rPr>
        <w:t>22 TFUE,</w:t>
      </w:r>
      <w:r w:rsidR="00A467B6">
        <w:rPr>
          <w:rFonts w:ascii="Times New Roman" w:hAnsi="Times New Roman"/>
          <w:sz w:val="24"/>
        </w:rPr>
        <w:t xml:space="preserve"> o sil</w:t>
      </w:r>
      <w:r>
        <w:rPr>
          <w:rFonts w:ascii="Times New Roman" w:hAnsi="Times New Roman"/>
          <w:sz w:val="24"/>
        </w:rPr>
        <w:t>nym wymiarze społecznym</w:t>
      </w:r>
      <w:r w:rsidR="00A467B6">
        <w:rPr>
          <w:rFonts w:ascii="Times New Roman" w:hAnsi="Times New Roman"/>
          <w:sz w:val="24"/>
        </w:rPr>
        <w:t xml:space="preserve"> i uza</w:t>
      </w:r>
      <w:r>
        <w:rPr>
          <w:rFonts w:ascii="Times New Roman" w:hAnsi="Times New Roman"/>
          <w:sz w:val="24"/>
        </w:rPr>
        <w:t>sadnieniu ekonomicznym – oraz dobrowolne zapewnienie UE gwarancji, aby pomóc</w:t>
      </w:r>
      <w:r w:rsidR="00A467B6">
        <w:rPr>
          <w:rFonts w:ascii="Times New Roman" w:hAnsi="Times New Roman"/>
          <w:sz w:val="24"/>
        </w:rPr>
        <w:t xml:space="preserve"> w zag</w:t>
      </w:r>
      <w:r>
        <w:rPr>
          <w:rFonts w:ascii="Times New Roman" w:hAnsi="Times New Roman"/>
          <w:sz w:val="24"/>
        </w:rPr>
        <w:t>warantowaniu jego stabilności finansowej, stanowią silny sygnał świadczący</w:t>
      </w:r>
      <w:r w:rsidR="00A467B6">
        <w:rPr>
          <w:rFonts w:ascii="Times New Roman" w:hAnsi="Times New Roman"/>
          <w:sz w:val="24"/>
        </w:rPr>
        <w:t xml:space="preserve"> o zdo</w:t>
      </w:r>
      <w:r>
        <w:rPr>
          <w:rFonts w:ascii="Times New Roman" w:hAnsi="Times New Roman"/>
          <w:sz w:val="24"/>
        </w:rPr>
        <w:t>lności UE do skutecznej</w:t>
      </w:r>
      <w:r w:rsidR="00A467B6">
        <w:rPr>
          <w:rFonts w:ascii="Times New Roman" w:hAnsi="Times New Roman"/>
          <w:sz w:val="24"/>
        </w:rPr>
        <w:t xml:space="preserve"> i szy</w:t>
      </w:r>
      <w:r>
        <w:rPr>
          <w:rFonts w:ascii="Times New Roman" w:hAnsi="Times New Roman"/>
          <w:sz w:val="24"/>
        </w:rPr>
        <w:t>bkiej reakcji na nowy rodzaj kryzysu. Przyczynił się on także do pozytywnej dynamiki, która doprowadziła do późniejszego ogłoszenia instrumentu Next Generation EU</w:t>
      </w:r>
      <w:r w:rsidR="00A467B6">
        <w:rPr>
          <w:rFonts w:ascii="Times New Roman" w:hAnsi="Times New Roman"/>
          <w:sz w:val="24"/>
        </w:rPr>
        <w:t>. W szc</w:t>
      </w:r>
      <w:r>
        <w:rPr>
          <w:rFonts w:ascii="Times New Roman" w:hAnsi="Times New Roman"/>
          <w:sz w:val="24"/>
        </w:rPr>
        <w:t>zególności,</w:t>
      </w:r>
      <w:r w:rsidR="00A467B6">
        <w:rPr>
          <w:rFonts w:ascii="Times New Roman" w:hAnsi="Times New Roman"/>
          <w:sz w:val="24"/>
        </w:rPr>
        <w:t xml:space="preserve"> w maj</w:t>
      </w:r>
      <w:r>
        <w:rPr>
          <w:rFonts w:ascii="Times New Roman" w:hAnsi="Times New Roman"/>
          <w:sz w:val="24"/>
        </w:rPr>
        <w:t>u 20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Komisja przedstawiła wniosek</w:t>
      </w:r>
      <w:r w:rsidR="00A467B6">
        <w:rPr>
          <w:rFonts w:ascii="Times New Roman" w:hAnsi="Times New Roman"/>
          <w:sz w:val="24"/>
        </w:rPr>
        <w:t xml:space="preserve"> w spr</w:t>
      </w:r>
      <w:r>
        <w:rPr>
          <w:rFonts w:ascii="Times New Roman" w:hAnsi="Times New Roman"/>
          <w:sz w:val="24"/>
        </w:rPr>
        <w:t>awie Instrumentu na rzecz Odbudowy</w:t>
      </w:r>
      <w:r w:rsidR="00A467B6">
        <w:rPr>
          <w:rFonts w:ascii="Times New Roman" w:hAnsi="Times New Roman"/>
          <w:sz w:val="24"/>
        </w:rPr>
        <w:t xml:space="preserve"> i Zwi</w:t>
      </w:r>
      <w:r>
        <w:rPr>
          <w:rFonts w:ascii="Times New Roman" w:hAnsi="Times New Roman"/>
          <w:sz w:val="24"/>
        </w:rPr>
        <w:t>ększania Odporności, który został ostatecznie przyjęty przez Radę</w:t>
      </w:r>
      <w:r w:rsidR="00A467B6">
        <w:rPr>
          <w:rFonts w:ascii="Times New Roman" w:hAnsi="Times New Roman"/>
          <w:sz w:val="24"/>
        </w:rPr>
        <w:t xml:space="preserve"> i Par</w:t>
      </w:r>
      <w:r>
        <w:rPr>
          <w:rFonts w:ascii="Times New Roman" w:hAnsi="Times New Roman"/>
          <w:sz w:val="24"/>
        </w:rPr>
        <w:t>lament Europejski na początku lutego 20</w:t>
      </w:r>
      <w:r w:rsidRPr="00A467B6">
        <w:rPr>
          <w:rFonts w:ascii="Times New Roman" w:hAnsi="Times New Roman"/>
          <w:sz w:val="24"/>
        </w:rPr>
        <w:t>21</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Ta zbiorowa zdolność do szybkiego reagowania na kryzys wynikający</w:t>
      </w:r>
      <w:r w:rsidR="00A467B6">
        <w:rPr>
          <w:rFonts w:ascii="Times New Roman" w:hAnsi="Times New Roman"/>
          <w:sz w:val="24"/>
        </w:rPr>
        <w:t xml:space="preserve"> z pan</w:t>
      </w:r>
      <w:r>
        <w:rPr>
          <w:rFonts w:ascii="Times New Roman" w:hAnsi="Times New Roman"/>
          <w:sz w:val="24"/>
        </w:rPr>
        <w:t>demii COVID-19 oraz tworzenia nowych instrumentów nadzwyczajnych, takich jak SURE, prawdopodobnie przyczyniła się do zwiększenia zaufania podmiotów gospodarczych do UE oraz zmniejszenia rozpiętości stóp procentowych dla środków pożyczanych przez poszczególne państwa członkowskie</w:t>
      </w:r>
      <w:r w:rsidR="00A467B6">
        <w:rPr>
          <w:rFonts w:ascii="Times New Roman" w:hAnsi="Times New Roman"/>
          <w:sz w:val="24"/>
        </w:rPr>
        <w:t xml:space="preserve"> i pop</w:t>
      </w:r>
      <w:r>
        <w:rPr>
          <w:rFonts w:ascii="Times New Roman" w:hAnsi="Times New Roman"/>
          <w:sz w:val="24"/>
        </w:rPr>
        <w:t>rawy perspektyw wzrostu UE</w:t>
      </w:r>
      <w:r>
        <w:rPr>
          <w:rFonts w:ascii="Times New Roman" w:hAnsi="Times New Roman" w:cs="Times New Roman"/>
          <w:sz w:val="24"/>
          <w:vertAlign w:val="superscript"/>
        </w:rPr>
        <w:footnoteReference w:id="32"/>
      </w:r>
      <w:r w:rsidR="00A467B6">
        <w:rPr>
          <w:rFonts w:ascii="Times New Roman" w:hAnsi="Times New Roman"/>
          <w:sz w:val="24"/>
        </w:rPr>
        <w:t>. W tym</w:t>
      </w:r>
      <w:r>
        <w:rPr>
          <w:rFonts w:ascii="Times New Roman" w:hAnsi="Times New Roman"/>
          <w:sz w:val="24"/>
        </w:rPr>
        <w:t xml:space="preserve"> kontekście można postrzegać SURE jako instrument mobilizujący wsparcie ze strony polityki fiskalnej</w:t>
      </w:r>
      <w:r w:rsidR="00A467B6">
        <w:rPr>
          <w:rFonts w:ascii="Times New Roman" w:hAnsi="Times New Roman"/>
          <w:sz w:val="24"/>
        </w:rPr>
        <w:t xml:space="preserve"> i zap</w:t>
      </w:r>
      <w:r>
        <w:rPr>
          <w:rFonts w:ascii="Times New Roman" w:hAnsi="Times New Roman"/>
          <w:sz w:val="24"/>
        </w:rPr>
        <w:t>ewniający</w:t>
      </w:r>
      <w:r w:rsidR="00A467B6">
        <w:rPr>
          <w:rFonts w:ascii="Times New Roman" w:hAnsi="Times New Roman"/>
          <w:sz w:val="24"/>
        </w:rPr>
        <w:t xml:space="preserve"> w ten</w:t>
      </w:r>
      <w:r>
        <w:rPr>
          <w:rFonts w:ascii="Times New Roman" w:hAnsi="Times New Roman"/>
          <w:sz w:val="24"/>
        </w:rPr>
        <w:t xml:space="preserve"> sposób współdziałanie wspierającego kursu polityki fiskalnej</w:t>
      </w:r>
      <w:r w:rsidR="00A467B6">
        <w:rPr>
          <w:rFonts w:ascii="Times New Roman" w:hAnsi="Times New Roman"/>
          <w:sz w:val="24"/>
        </w:rPr>
        <w:t xml:space="preserve"> i ako</w:t>
      </w:r>
      <w:r>
        <w:rPr>
          <w:rFonts w:ascii="Times New Roman" w:hAnsi="Times New Roman"/>
          <w:sz w:val="24"/>
        </w:rPr>
        <w:t>modacyjnej polityki pieniężnej, aby przezwyciężyć skutki kryzysu.</w:t>
      </w:r>
    </w:p>
    <w:p w14:paraId="713162EA" w14:textId="38B3FFB2"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Po drugie, za pośrednictwem SURE UE wspiera korzystanie</w:t>
      </w:r>
      <w:r w:rsidR="00A467B6">
        <w:rPr>
          <w:rFonts w:ascii="Times New Roman" w:hAnsi="Times New Roman"/>
          <w:b/>
          <w:sz w:val="24"/>
          <w:szCs w:val="24"/>
        </w:rPr>
        <w:t xml:space="preserve"> z mec</w:t>
      </w:r>
      <w:r>
        <w:rPr>
          <w:rFonts w:ascii="Times New Roman" w:hAnsi="Times New Roman"/>
          <w:b/>
          <w:sz w:val="24"/>
          <w:szCs w:val="24"/>
        </w:rPr>
        <w:t>hanizmów zmniejszonego wymiaru czasu pracy</w:t>
      </w:r>
      <w:r w:rsidR="00A467B6">
        <w:rPr>
          <w:rFonts w:ascii="Times New Roman" w:hAnsi="Times New Roman"/>
          <w:b/>
          <w:sz w:val="24"/>
          <w:szCs w:val="24"/>
        </w:rPr>
        <w:t xml:space="preserve"> w pań</w:t>
      </w:r>
      <w:r>
        <w:rPr>
          <w:rFonts w:ascii="Times New Roman" w:hAnsi="Times New Roman"/>
          <w:b/>
          <w:sz w:val="24"/>
          <w:szCs w:val="24"/>
        </w:rPr>
        <w:t>stwach członkowskich</w:t>
      </w:r>
      <w:r w:rsidR="00A467B6">
        <w:rPr>
          <w:rFonts w:ascii="Times New Roman" w:hAnsi="Times New Roman"/>
          <w:b/>
          <w:sz w:val="24"/>
          <w:szCs w:val="24"/>
        </w:rPr>
        <w:t xml:space="preserve"> i zac</w:t>
      </w:r>
      <w:r>
        <w:rPr>
          <w:rFonts w:ascii="Times New Roman" w:hAnsi="Times New Roman"/>
          <w:b/>
          <w:sz w:val="24"/>
          <w:szCs w:val="24"/>
        </w:rPr>
        <w:t xml:space="preserve">hęca do niego. </w:t>
      </w:r>
      <w:r>
        <w:rPr>
          <w:rFonts w:ascii="Times New Roman" w:hAnsi="Times New Roman"/>
          <w:sz w:val="24"/>
          <w:szCs w:val="24"/>
        </w:rPr>
        <w:t>Zapewniając państwom członkowskim pomoc finansową, aby pomóc im</w:t>
      </w:r>
      <w:r w:rsidR="00A467B6">
        <w:rPr>
          <w:rFonts w:ascii="Times New Roman" w:hAnsi="Times New Roman"/>
          <w:sz w:val="24"/>
          <w:szCs w:val="24"/>
        </w:rPr>
        <w:t xml:space="preserve"> w fin</w:t>
      </w:r>
      <w:r>
        <w:rPr>
          <w:rFonts w:ascii="Times New Roman" w:hAnsi="Times New Roman"/>
          <w:sz w:val="24"/>
          <w:szCs w:val="24"/>
        </w:rPr>
        <w:t>ansowaniu mechanizmów zmniejszonego wymiaru czasu pracy dla przedsiębiorstw dotkniętych pandemią,</w:t>
      </w:r>
      <w:r w:rsidR="00A467B6">
        <w:rPr>
          <w:rFonts w:ascii="Times New Roman" w:hAnsi="Times New Roman"/>
          <w:sz w:val="24"/>
          <w:szCs w:val="24"/>
        </w:rPr>
        <w:t xml:space="preserve"> a tak</w:t>
      </w:r>
      <w:r>
        <w:rPr>
          <w:rFonts w:ascii="Times New Roman" w:hAnsi="Times New Roman"/>
          <w:sz w:val="24"/>
          <w:szCs w:val="24"/>
        </w:rPr>
        <w:t>że podobnych środków, dotyczących</w:t>
      </w:r>
      <w:r w:rsidR="00A467B6">
        <w:rPr>
          <w:rFonts w:ascii="Times New Roman" w:hAnsi="Times New Roman"/>
          <w:sz w:val="24"/>
          <w:szCs w:val="24"/>
        </w:rPr>
        <w:t xml:space="preserve"> w szc</w:t>
      </w:r>
      <w:r>
        <w:rPr>
          <w:rFonts w:ascii="Times New Roman" w:hAnsi="Times New Roman"/>
          <w:sz w:val="24"/>
          <w:szCs w:val="24"/>
        </w:rPr>
        <w:t>zególności osób samozatrudnionych,</w:t>
      </w:r>
      <w:r w:rsidR="00A467B6">
        <w:rPr>
          <w:rFonts w:ascii="Times New Roman" w:hAnsi="Times New Roman"/>
          <w:sz w:val="24"/>
          <w:szCs w:val="24"/>
        </w:rPr>
        <w:t xml:space="preserve"> w ram</w:t>
      </w:r>
      <w:r>
        <w:rPr>
          <w:rFonts w:ascii="Times New Roman" w:hAnsi="Times New Roman"/>
          <w:sz w:val="24"/>
          <w:szCs w:val="24"/>
        </w:rPr>
        <w:t>ach SURE zachęcano państwa członkowskie do realizowania tego rodzaju polityki, zgodnie także</w:t>
      </w:r>
      <w:r w:rsidR="00A467B6">
        <w:rPr>
          <w:rFonts w:ascii="Times New Roman" w:hAnsi="Times New Roman"/>
          <w:sz w:val="24"/>
          <w:szCs w:val="24"/>
        </w:rPr>
        <w:t xml:space="preserve"> z wyt</w:t>
      </w:r>
      <w:r>
        <w:rPr>
          <w:rFonts w:ascii="Times New Roman" w:hAnsi="Times New Roman"/>
          <w:sz w:val="24"/>
          <w:szCs w:val="24"/>
        </w:rPr>
        <w:t xml:space="preserve">ycznymi dotyczącymi polityki zatrudnienia </w:t>
      </w:r>
      <w:r w:rsidRPr="00A467B6">
        <w:rPr>
          <w:rFonts w:ascii="Times New Roman" w:hAnsi="Times New Roman"/>
          <w:sz w:val="24"/>
          <w:szCs w:val="24"/>
        </w:rPr>
        <w:t>na</w:t>
      </w:r>
      <w:r w:rsidR="00A467B6" w:rsidRPr="00A467B6">
        <w:rPr>
          <w:rFonts w:ascii="Times New Roman" w:hAnsi="Times New Roman"/>
          <w:sz w:val="24"/>
          <w:szCs w:val="24"/>
        </w:rPr>
        <w:t> </w:t>
      </w:r>
      <w:r w:rsidRPr="00A467B6">
        <w:rPr>
          <w:rFonts w:ascii="Times New Roman" w:hAnsi="Times New Roman"/>
          <w:sz w:val="24"/>
          <w:szCs w:val="24"/>
        </w:rPr>
        <w:t>2</w:t>
      </w:r>
      <w:r>
        <w:rPr>
          <w:rFonts w:ascii="Times New Roman" w:hAnsi="Times New Roman"/>
          <w:sz w:val="24"/>
          <w:szCs w:val="24"/>
        </w:rPr>
        <w:t>0</w:t>
      </w:r>
      <w:r w:rsidRPr="00A467B6">
        <w:rPr>
          <w:rFonts w:ascii="Times New Roman" w:hAnsi="Times New Roman"/>
          <w:sz w:val="24"/>
          <w:szCs w:val="24"/>
        </w:rPr>
        <w:t>20</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b/>
          <w:sz w:val="24"/>
          <w:szCs w:val="24"/>
        </w:rPr>
        <w:t xml:space="preserve"> </w:t>
      </w:r>
      <w:r>
        <w:rPr>
          <w:rFonts w:ascii="Times New Roman" w:hAnsi="Times New Roman"/>
          <w:sz w:val="24"/>
          <w:szCs w:val="24"/>
        </w:rPr>
        <w:t>Instrument ten, wraz ze wsparciem zapewnianym za pośrednictwem europejskich funduszy strukturalnych</w:t>
      </w:r>
      <w:r w:rsidR="00A467B6">
        <w:rPr>
          <w:rFonts w:ascii="Times New Roman" w:hAnsi="Times New Roman"/>
          <w:sz w:val="24"/>
          <w:szCs w:val="24"/>
        </w:rPr>
        <w:t xml:space="preserve"> i inw</w:t>
      </w:r>
      <w:r>
        <w:rPr>
          <w:rFonts w:ascii="Times New Roman" w:hAnsi="Times New Roman"/>
          <w:sz w:val="24"/>
          <w:szCs w:val="24"/>
        </w:rPr>
        <w:t>estycyjnych, zwłaszcza Europejskiego Funduszu</w:t>
      </w:r>
      <w:r>
        <w:rPr>
          <w:rFonts w:ascii="Times New Roman" w:hAnsi="Times New Roman"/>
          <w:i/>
          <w:sz w:val="24"/>
          <w:szCs w:val="24"/>
        </w:rPr>
        <w:t xml:space="preserve"> </w:t>
      </w:r>
      <w:r>
        <w:rPr>
          <w:rFonts w:ascii="Times New Roman" w:hAnsi="Times New Roman"/>
          <w:sz w:val="24"/>
          <w:szCs w:val="24"/>
        </w:rPr>
        <w:t>Społecznego, oraz za pośrednictwem inicjatyw inwestycyjnych</w:t>
      </w:r>
      <w:r w:rsidR="00A467B6">
        <w:rPr>
          <w:rFonts w:ascii="Times New Roman" w:hAnsi="Times New Roman"/>
          <w:sz w:val="24"/>
          <w:szCs w:val="24"/>
        </w:rPr>
        <w:t xml:space="preserve"> w odp</w:t>
      </w:r>
      <w:r>
        <w:rPr>
          <w:rFonts w:ascii="Times New Roman" w:hAnsi="Times New Roman"/>
          <w:sz w:val="24"/>
          <w:szCs w:val="24"/>
        </w:rPr>
        <w:t>owiedzi na koronawirusa (CRII oraz CRII+), umożliwił państwom członkowskim zastosowanie ambitniejszego podejścia we wprowadzanych przez nie politykach.</w:t>
      </w:r>
    </w:p>
    <w:p w14:paraId="0EAC9689" w14:textId="0D4D8F30" w:rsidR="009D29AB" w:rsidRPr="009D29AB" w:rsidRDefault="009D29AB" w:rsidP="009D29AB">
      <w:pPr>
        <w:spacing w:before="120" w:after="60"/>
        <w:jc w:val="both"/>
        <w:rPr>
          <w:rFonts w:ascii="Times New Roman" w:hAnsi="Times New Roman" w:cs="Times New Roman"/>
          <w:color w:val="000000" w:themeColor="text1"/>
          <w:sz w:val="24"/>
          <w:szCs w:val="24"/>
        </w:rPr>
      </w:pPr>
      <w:r>
        <w:rPr>
          <w:rFonts w:ascii="Times New Roman" w:hAnsi="Times New Roman"/>
          <w:b/>
          <w:sz w:val="24"/>
          <w:szCs w:val="24"/>
        </w:rPr>
        <w:t>Większość państw członkowskich korzystających</w:t>
      </w:r>
      <w:r w:rsidR="00A467B6">
        <w:rPr>
          <w:rFonts w:ascii="Times New Roman" w:hAnsi="Times New Roman"/>
          <w:b/>
          <w:sz w:val="24"/>
          <w:szCs w:val="24"/>
        </w:rPr>
        <w:t xml:space="preserve"> z pom</w:t>
      </w:r>
      <w:r>
        <w:rPr>
          <w:rFonts w:ascii="Times New Roman" w:hAnsi="Times New Roman"/>
          <w:b/>
          <w:sz w:val="24"/>
          <w:szCs w:val="24"/>
        </w:rPr>
        <w:t>ocy wskazała, że SURE miał wpływ na ich decyzję</w:t>
      </w:r>
      <w:r w:rsidR="00A467B6">
        <w:rPr>
          <w:rFonts w:ascii="Times New Roman" w:hAnsi="Times New Roman"/>
          <w:b/>
          <w:sz w:val="24"/>
          <w:szCs w:val="24"/>
        </w:rPr>
        <w:t xml:space="preserve"> o prz</w:t>
      </w:r>
      <w:r>
        <w:rPr>
          <w:rFonts w:ascii="Times New Roman" w:hAnsi="Times New Roman"/>
          <w:b/>
          <w:sz w:val="24"/>
          <w:szCs w:val="24"/>
        </w:rPr>
        <w:t>yjęciu nowego mechanizmu zmniejszonego wymiaru czasu pracy lub</w:t>
      </w:r>
      <w:r w:rsidR="00A467B6">
        <w:rPr>
          <w:rFonts w:ascii="Times New Roman" w:hAnsi="Times New Roman"/>
          <w:b/>
          <w:sz w:val="24"/>
          <w:szCs w:val="24"/>
        </w:rPr>
        <w:t xml:space="preserve"> o zmi</w:t>
      </w:r>
      <w:r>
        <w:rPr>
          <w:rFonts w:ascii="Times New Roman" w:hAnsi="Times New Roman"/>
          <w:b/>
          <w:sz w:val="24"/>
          <w:szCs w:val="24"/>
        </w:rPr>
        <w:t>anie istniejącego mechanizmu</w:t>
      </w:r>
      <w:r>
        <w:rPr>
          <w:rFonts w:ascii="Times New Roman" w:hAnsi="Times New Roman" w:cs="Times New Roman"/>
          <w:sz w:val="24"/>
          <w:szCs w:val="24"/>
          <w:vertAlign w:val="superscript"/>
        </w:rPr>
        <w:footnoteReference w:id="33"/>
      </w:r>
      <w:r>
        <w:rPr>
          <w:rFonts w:ascii="Times New Roman" w:hAnsi="Times New Roman"/>
          <w:sz w:val="24"/>
          <w:szCs w:val="24"/>
        </w:rPr>
        <w:t>. Dziewięć państw członkowskich utworzyło nowy mechanizm zmniejszonego wymiaru czasu pracy</w:t>
      </w:r>
      <w:r w:rsidR="00A467B6">
        <w:rPr>
          <w:rFonts w:ascii="Times New Roman" w:hAnsi="Times New Roman"/>
          <w:sz w:val="24"/>
          <w:szCs w:val="24"/>
        </w:rPr>
        <w:t xml:space="preserve"> w odp</w:t>
      </w:r>
      <w:r>
        <w:rPr>
          <w:rFonts w:ascii="Times New Roman" w:hAnsi="Times New Roman"/>
          <w:sz w:val="24"/>
          <w:szCs w:val="24"/>
        </w:rPr>
        <w:t>owiedzi na kryzys związany z COVID-19</w:t>
      </w:r>
      <w:r>
        <w:rPr>
          <w:rFonts w:ascii="Times New Roman" w:hAnsi="Times New Roman" w:cs="Times New Roman"/>
          <w:color w:val="000000" w:themeColor="text1"/>
          <w:sz w:val="24"/>
          <w:szCs w:val="24"/>
          <w:vertAlign w:val="superscript"/>
        </w:rPr>
        <w:footnoteReference w:id="34"/>
      </w:r>
      <w:r>
        <w:rPr>
          <w:rFonts w:ascii="Times New Roman" w:hAnsi="Times New Roman"/>
          <w:sz w:val="24"/>
          <w:szCs w:val="24"/>
        </w:rPr>
        <w:t>,</w:t>
      </w:r>
      <w:r w:rsidR="00A467B6">
        <w:rPr>
          <w:rFonts w:ascii="Times New Roman" w:hAnsi="Times New Roman"/>
          <w:sz w:val="24"/>
          <w:szCs w:val="24"/>
        </w:rPr>
        <w:t xml:space="preserve"> a czt</w:t>
      </w:r>
      <w:r>
        <w:rPr>
          <w:rFonts w:ascii="Times New Roman" w:hAnsi="Times New Roman"/>
          <w:sz w:val="24"/>
          <w:szCs w:val="24"/>
        </w:rPr>
        <w:t>ery państwa członkowskie zmieniły już istniejący mechanizm zmniejszonego wymiaru czasu pracy</w:t>
      </w:r>
      <w:r>
        <w:rPr>
          <w:rFonts w:ascii="Times New Roman" w:hAnsi="Times New Roman" w:cs="Times New Roman"/>
          <w:color w:val="000000" w:themeColor="text1"/>
          <w:sz w:val="24"/>
          <w:szCs w:val="24"/>
          <w:vertAlign w:val="superscript"/>
        </w:rPr>
        <w:footnoteReference w:id="35"/>
      </w:r>
      <w:r>
        <w:rPr>
          <w:rFonts w:ascii="Times New Roman" w:hAnsi="Times New Roman"/>
          <w:sz w:val="24"/>
          <w:szCs w:val="24"/>
        </w:rPr>
        <w:t>.</w:t>
      </w:r>
      <w:r>
        <w:rPr>
          <w:rFonts w:ascii="Times New Roman" w:hAnsi="Times New Roman"/>
          <w:color w:val="000000" w:themeColor="text1"/>
          <w:sz w:val="24"/>
          <w:szCs w:val="24"/>
        </w:rPr>
        <w:t xml:space="preserve"> </w:t>
      </w:r>
      <w:r>
        <w:rPr>
          <w:rFonts w:ascii="Times New Roman" w:hAnsi="Times New Roman"/>
          <w:sz w:val="24"/>
          <w:szCs w:val="24"/>
        </w:rPr>
        <w:t>Większość tych mechanizmów wprowadzono lub zmieniono</w:t>
      </w:r>
      <w:r w:rsidR="00A467B6">
        <w:rPr>
          <w:rFonts w:ascii="Times New Roman" w:hAnsi="Times New Roman"/>
          <w:sz w:val="24"/>
          <w:szCs w:val="24"/>
        </w:rPr>
        <w:t xml:space="preserve"> w mar</w:t>
      </w:r>
      <w:r>
        <w:rPr>
          <w:rFonts w:ascii="Times New Roman" w:hAnsi="Times New Roman"/>
          <w:sz w:val="24"/>
          <w:szCs w:val="24"/>
        </w:rPr>
        <w:t>cu 20</w:t>
      </w:r>
      <w:r w:rsidRPr="00A467B6">
        <w:rPr>
          <w:rFonts w:ascii="Times New Roman" w:hAnsi="Times New Roman"/>
          <w:sz w:val="24"/>
          <w:szCs w:val="24"/>
        </w:rPr>
        <w:t>20</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na krótko przed zaproponowaniem przez Komisję SURE. Od tego czasu nowe mechanizmy wprowadzono na Węgrzech,</w:t>
      </w:r>
      <w:r w:rsidR="00A467B6">
        <w:rPr>
          <w:rFonts w:ascii="Times New Roman" w:hAnsi="Times New Roman"/>
          <w:sz w:val="24"/>
          <w:szCs w:val="24"/>
        </w:rPr>
        <w:t xml:space="preserve"> w Gre</w:t>
      </w:r>
      <w:r>
        <w:rPr>
          <w:rFonts w:ascii="Times New Roman" w:hAnsi="Times New Roman"/>
          <w:sz w:val="24"/>
          <w:szCs w:val="24"/>
        </w:rPr>
        <w:t>cji, Rumunii</w:t>
      </w:r>
      <w:r w:rsidR="00A467B6">
        <w:rPr>
          <w:rFonts w:ascii="Times New Roman" w:hAnsi="Times New Roman"/>
          <w:sz w:val="24"/>
          <w:szCs w:val="24"/>
        </w:rPr>
        <w:t xml:space="preserve"> i Sło</w:t>
      </w:r>
      <w:r>
        <w:rPr>
          <w:rFonts w:ascii="Times New Roman" w:hAnsi="Times New Roman"/>
          <w:sz w:val="24"/>
          <w:szCs w:val="24"/>
        </w:rPr>
        <w:t>wenii; Włochy</w:t>
      </w:r>
      <w:r w:rsidR="00A467B6">
        <w:rPr>
          <w:rFonts w:ascii="Times New Roman" w:hAnsi="Times New Roman"/>
          <w:sz w:val="24"/>
          <w:szCs w:val="24"/>
        </w:rPr>
        <w:t xml:space="preserve"> i His</w:t>
      </w:r>
      <w:r>
        <w:rPr>
          <w:rFonts w:ascii="Times New Roman" w:hAnsi="Times New Roman"/>
          <w:sz w:val="24"/>
          <w:szCs w:val="24"/>
        </w:rPr>
        <w:t>zpania ponownie zmieniły swoje istniejące wcześniej mechanizmy (zob. tabela A.1</w:t>
      </w:r>
      <w:r w:rsidR="00A467B6">
        <w:rPr>
          <w:rFonts w:ascii="Times New Roman" w:hAnsi="Times New Roman"/>
          <w:sz w:val="24"/>
          <w:szCs w:val="24"/>
        </w:rPr>
        <w:t xml:space="preserve"> w zał</w:t>
      </w:r>
      <w:r>
        <w:rPr>
          <w:rFonts w:ascii="Times New Roman" w:hAnsi="Times New Roman"/>
          <w:sz w:val="24"/>
          <w:szCs w:val="24"/>
        </w:rPr>
        <w:t>ączniku 1)</w:t>
      </w:r>
      <w:r>
        <w:rPr>
          <w:rFonts w:ascii="Times New Roman" w:hAnsi="Times New Roman" w:cs="Times New Roman"/>
          <w:color w:val="000000" w:themeColor="text1"/>
          <w:sz w:val="24"/>
          <w:szCs w:val="24"/>
          <w:vertAlign w:val="superscript"/>
        </w:rPr>
        <w:footnoteReference w:id="36"/>
      </w:r>
      <w:r>
        <w:rPr>
          <w:rFonts w:ascii="Times New Roman" w:hAnsi="Times New Roman"/>
          <w:color w:val="000000" w:themeColor="text1"/>
          <w:sz w:val="24"/>
          <w:szCs w:val="24"/>
        </w:rPr>
        <w:t xml:space="preserve">. </w:t>
      </w:r>
    </w:p>
    <w:p w14:paraId="0E17B79A" w14:textId="4D4EE512"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 xml:space="preserve">Utworzenie SURE pozwoliło niektórym państwom członkowskim także na ambitniejsze podejście do środków podobnych do mechanizmów zmniejszonego wymiaru czasu pracy. </w:t>
      </w:r>
      <w:r>
        <w:rPr>
          <w:rFonts w:ascii="Times New Roman" w:hAnsi="Times New Roman"/>
          <w:sz w:val="24"/>
          <w:szCs w:val="24"/>
        </w:rPr>
        <w:t>Wszystkie państwa członkowskie (z wyjątkiem Bułgarii</w:t>
      </w:r>
      <w:r w:rsidR="00A467B6">
        <w:rPr>
          <w:rFonts w:ascii="Times New Roman" w:hAnsi="Times New Roman"/>
          <w:sz w:val="24"/>
          <w:szCs w:val="24"/>
        </w:rPr>
        <w:t xml:space="preserve"> i Cho</w:t>
      </w:r>
      <w:r>
        <w:rPr>
          <w:rFonts w:ascii="Times New Roman" w:hAnsi="Times New Roman"/>
          <w:sz w:val="24"/>
          <w:szCs w:val="24"/>
        </w:rPr>
        <w:t>rwacji) wystąpiły także</w:t>
      </w:r>
      <w:r w:rsidR="00A467B6">
        <w:rPr>
          <w:rFonts w:ascii="Times New Roman" w:hAnsi="Times New Roman"/>
          <w:sz w:val="24"/>
          <w:szCs w:val="24"/>
        </w:rPr>
        <w:t xml:space="preserve"> o pom</w:t>
      </w:r>
      <w:r>
        <w:rPr>
          <w:rFonts w:ascii="Times New Roman" w:hAnsi="Times New Roman"/>
          <w:sz w:val="24"/>
          <w:szCs w:val="24"/>
        </w:rPr>
        <w:t>oc finansową</w:t>
      </w:r>
      <w:r w:rsidR="00A467B6">
        <w:rPr>
          <w:rFonts w:ascii="Times New Roman" w:hAnsi="Times New Roman"/>
          <w:sz w:val="24"/>
          <w:szCs w:val="24"/>
        </w:rPr>
        <w:t xml:space="preserve"> w ram</w:t>
      </w:r>
      <w:r>
        <w:rPr>
          <w:rFonts w:ascii="Times New Roman" w:hAnsi="Times New Roman"/>
          <w:sz w:val="24"/>
          <w:szCs w:val="24"/>
        </w:rPr>
        <w:t>ach SURE na mechanizmy podobne do mechanizmów zmniejszonego wymiaru czasu pracy, które obejmują wsparcie dla osób samozatrudnionych,</w:t>
      </w:r>
      <w:r w:rsidR="00A467B6">
        <w:rPr>
          <w:rFonts w:ascii="Times New Roman" w:hAnsi="Times New Roman"/>
          <w:sz w:val="24"/>
          <w:szCs w:val="24"/>
        </w:rPr>
        <w:t xml:space="preserve"> a tak</w:t>
      </w:r>
      <w:r>
        <w:rPr>
          <w:rFonts w:ascii="Times New Roman" w:hAnsi="Times New Roman"/>
          <w:sz w:val="24"/>
          <w:szCs w:val="24"/>
        </w:rPr>
        <w:t>że inne środki utrzymania zatrudnienia. Niektóre państwa członkowskie wprowadziły te środki zanim zaproponowano SURE,</w:t>
      </w:r>
      <w:r w:rsidR="00A467B6">
        <w:rPr>
          <w:rFonts w:ascii="Times New Roman" w:hAnsi="Times New Roman"/>
          <w:sz w:val="24"/>
          <w:szCs w:val="24"/>
        </w:rPr>
        <w:t xml:space="preserve"> a nie</w:t>
      </w:r>
      <w:r>
        <w:rPr>
          <w:rFonts w:ascii="Times New Roman" w:hAnsi="Times New Roman"/>
          <w:sz w:val="24"/>
          <w:szCs w:val="24"/>
        </w:rPr>
        <w:t>które potem</w:t>
      </w:r>
      <w:r>
        <w:rPr>
          <w:rFonts w:ascii="Times New Roman" w:hAnsi="Times New Roman" w:cs="Times New Roman"/>
          <w:sz w:val="24"/>
          <w:szCs w:val="24"/>
          <w:vertAlign w:val="superscript"/>
        </w:rPr>
        <w:footnoteReference w:id="37"/>
      </w:r>
      <w:r>
        <w:rPr>
          <w:rFonts w:ascii="Times New Roman" w:hAnsi="Times New Roman"/>
          <w:sz w:val="24"/>
          <w:szCs w:val="24"/>
        </w:rPr>
        <w:t>. Większość państw członkowskich, które wzięły udział</w:t>
      </w:r>
      <w:r w:rsidR="00A467B6">
        <w:rPr>
          <w:rFonts w:ascii="Times New Roman" w:hAnsi="Times New Roman"/>
          <w:sz w:val="24"/>
          <w:szCs w:val="24"/>
        </w:rPr>
        <w:t xml:space="preserve"> w ank</w:t>
      </w:r>
      <w:r>
        <w:rPr>
          <w:rFonts w:ascii="Times New Roman" w:hAnsi="Times New Roman"/>
          <w:sz w:val="24"/>
          <w:szCs w:val="24"/>
        </w:rPr>
        <w:t>iecie, wprowadziła nowe mechanizmy podobne do mechanizmów zmniejszonego wymiaru czasu pracy</w:t>
      </w:r>
      <w:r w:rsidR="00A467B6">
        <w:rPr>
          <w:rFonts w:ascii="Times New Roman" w:hAnsi="Times New Roman"/>
          <w:sz w:val="24"/>
          <w:szCs w:val="24"/>
        </w:rPr>
        <w:t xml:space="preserve"> w odp</w:t>
      </w:r>
      <w:r>
        <w:rPr>
          <w:rFonts w:ascii="Times New Roman" w:hAnsi="Times New Roman"/>
          <w:sz w:val="24"/>
          <w:szCs w:val="24"/>
        </w:rPr>
        <w:t>owiedzi na potencjalną dostępność finansowania</w:t>
      </w:r>
      <w:r w:rsidR="00A467B6">
        <w:rPr>
          <w:rFonts w:ascii="Times New Roman" w:hAnsi="Times New Roman"/>
          <w:sz w:val="24"/>
          <w:szCs w:val="24"/>
        </w:rPr>
        <w:t xml:space="preserve"> w ram</w:t>
      </w:r>
      <w:r>
        <w:rPr>
          <w:rFonts w:ascii="Times New Roman" w:hAnsi="Times New Roman"/>
          <w:sz w:val="24"/>
          <w:szCs w:val="24"/>
        </w:rPr>
        <w:t>ach SURE</w:t>
      </w:r>
      <w:r>
        <w:rPr>
          <w:rFonts w:ascii="Times New Roman" w:hAnsi="Times New Roman" w:cs="Times New Roman"/>
          <w:sz w:val="24"/>
          <w:szCs w:val="24"/>
          <w:vertAlign w:val="superscript"/>
          <w:lang w:val="en-US"/>
        </w:rPr>
        <w:footnoteReference w:id="38"/>
      </w:r>
      <w:r>
        <w:rPr>
          <w:rFonts w:ascii="Times New Roman" w:hAnsi="Times New Roman"/>
          <w:sz w:val="24"/>
          <w:szCs w:val="24"/>
        </w:rPr>
        <w:t>. Ponadto</w:t>
      </w:r>
      <w:r w:rsidR="00A467B6">
        <w:rPr>
          <w:rFonts w:ascii="Times New Roman" w:hAnsi="Times New Roman"/>
          <w:sz w:val="24"/>
          <w:szCs w:val="24"/>
        </w:rPr>
        <w:t xml:space="preserve"> w trz</w:t>
      </w:r>
      <w:r>
        <w:rPr>
          <w:rFonts w:ascii="Times New Roman" w:hAnsi="Times New Roman"/>
          <w:sz w:val="24"/>
          <w:szCs w:val="24"/>
        </w:rPr>
        <w:t>ech państwach członkowskich dostępność finansowania</w:t>
      </w:r>
      <w:r w:rsidR="00A467B6">
        <w:rPr>
          <w:rFonts w:ascii="Times New Roman" w:hAnsi="Times New Roman"/>
          <w:sz w:val="24"/>
          <w:szCs w:val="24"/>
        </w:rPr>
        <w:t xml:space="preserve"> w ram</w:t>
      </w:r>
      <w:r>
        <w:rPr>
          <w:rFonts w:ascii="Times New Roman" w:hAnsi="Times New Roman"/>
          <w:sz w:val="24"/>
          <w:szCs w:val="24"/>
        </w:rPr>
        <w:t xml:space="preserve">ach SURE przyczyniła się do zwiększenia budżetu przedzielonego na finansowanie tych mechanizmów. </w:t>
      </w:r>
    </w:p>
    <w:p w14:paraId="3EEB3A67" w14:textId="3494E269"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Po trzecie, jako element wczesnej reakcji politycznej UE SURE zwiększył zaufanie państw członkowskich do zaciągania większych pożyczek</w:t>
      </w:r>
      <w:r w:rsidR="00A467B6">
        <w:rPr>
          <w:rFonts w:ascii="Times New Roman" w:hAnsi="Times New Roman"/>
          <w:b/>
          <w:sz w:val="24"/>
          <w:szCs w:val="24"/>
        </w:rPr>
        <w:t xml:space="preserve"> i dok</w:t>
      </w:r>
      <w:r>
        <w:rPr>
          <w:rFonts w:ascii="Times New Roman" w:hAnsi="Times New Roman"/>
          <w:b/>
          <w:sz w:val="24"/>
          <w:szCs w:val="24"/>
        </w:rPr>
        <w:t>onywania większych wydatków, niż miałoby to miejsce</w:t>
      </w:r>
      <w:r w:rsidR="00A467B6">
        <w:rPr>
          <w:rFonts w:ascii="Times New Roman" w:hAnsi="Times New Roman"/>
          <w:b/>
          <w:sz w:val="24"/>
          <w:szCs w:val="24"/>
        </w:rPr>
        <w:t xml:space="preserve"> w prz</w:t>
      </w:r>
      <w:r>
        <w:rPr>
          <w:rFonts w:ascii="Times New Roman" w:hAnsi="Times New Roman"/>
          <w:b/>
          <w:sz w:val="24"/>
          <w:szCs w:val="24"/>
        </w:rPr>
        <w:t xml:space="preserve">eciwnym przypadku. </w:t>
      </w:r>
      <w:r>
        <w:rPr>
          <w:rFonts w:ascii="Times New Roman" w:hAnsi="Times New Roman"/>
          <w:sz w:val="24"/>
          <w:szCs w:val="24"/>
        </w:rPr>
        <w:t>SURE umożliwił im także utrzymanie lub zwiększenie wydatków publicznych na wsparcie zatrudnienia.</w:t>
      </w:r>
      <w:r>
        <w:rPr>
          <w:rFonts w:ascii="Times New Roman" w:hAnsi="Times New Roman"/>
          <w:b/>
          <w:sz w:val="24"/>
          <w:szCs w:val="24"/>
        </w:rPr>
        <w:t xml:space="preserve"> </w:t>
      </w:r>
      <w:r>
        <w:rPr>
          <w:rFonts w:ascii="Times New Roman" w:hAnsi="Times New Roman"/>
          <w:sz w:val="24"/>
          <w:szCs w:val="24"/>
        </w:rPr>
        <w:t>Dotyczy to</w:t>
      </w:r>
      <w:r w:rsidR="00A467B6">
        <w:rPr>
          <w:rFonts w:ascii="Times New Roman" w:hAnsi="Times New Roman"/>
          <w:sz w:val="24"/>
          <w:szCs w:val="24"/>
        </w:rPr>
        <w:t xml:space="preserve"> w szc</w:t>
      </w:r>
      <w:r>
        <w:rPr>
          <w:rFonts w:ascii="Times New Roman" w:hAnsi="Times New Roman"/>
          <w:sz w:val="24"/>
          <w:szCs w:val="24"/>
        </w:rPr>
        <w:t>zególności sytuacji, gdy finansowanie jest dostępne przy bardzo niskim oprocentowaniu</w:t>
      </w:r>
      <w:r w:rsidR="00A467B6">
        <w:rPr>
          <w:rFonts w:ascii="Times New Roman" w:hAnsi="Times New Roman"/>
          <w:sz w:val="24"/>
          <w:szCs w:val="24"/>
        </w:rPr>
        <w:t xml:space="preserve"> i ofe</w:t>
      </w:r>
      <w:r>
        <w:rPr>
          <w:rFonts w:ascii="Times New Roman" w:hAnsi="Times New Roman"/>
          <w:sz w:val="24"/>
          <w:szCs w:val="24"/>
        </w:rPr>
        <w:t>rowane</w:t>
      </w:r>
      <w:r w:rsidR="00A467B6">
        <w:rPr>
          <w:rFonts w:ascii="Times New Roman" w:hAnsi="Times New Roman"/>
          <w:sz w:val="24"/>
          <w:szCs w:val="24"/>
        </w:rPr>
        <w:t xml:space="preserve"> z wys</w:t>
      </w:r>
      <w:r>
        <w:rPr>
          <w:rFonts w:ascii="Times New Roman" w:hAnsi="Times New Roman"/>
          <w:sz w:val="24"/>
          <w:szCs w:val="24"/>
        </w:rPr>
        <w:t>tarczająco długim terminem zapadalności, tak jak ma to miejsce</w:t>
      </w:r>
      <w:r w:rsidR="00A467B6">
        <w:rPr>
          <w:rFonts w:ascii="Times New Roman" w:hAnsi="Times New Roman"/>
          <w:sz w:val="24"/>
          <w:szCs w:val="24"/>
        </w:rPr>
        <w:t xml:space="preserve"> w prz</w:t>
      </w:r>
      <w:r>
        <w:rPr>
          <w:rFonts w:ascii="Times New Roman" w:hAnsi="Times New Roman"/>
          <w:sz w:val="24"/>
          <w:szCs w:val="24"/>
        </w:rPr>
        <w:t>ypadku SURE. Te dodatkowe pożyczki mogą być przeznaczone albo na mechanizmy zmniejszonego wymiaru czasu pracy, albo na inne polityki związane</w:t>
      </w:r>
      <w:r w:rsidR="00A467B6">
        <w:rPr>
          <w:rFonts w:ascii="Times New Roman" w:hAnsi="Times New Roman"/>
          <w:sz w:val="24"/>
          <w:szCs w:val="24"/>
        </w:rPr>
        <w:t xml:space="preserve"> z pan</w:t>
      </w:r>
      <w:r>
        <w:rPr>
          <w:rFonts w:ascii="Times New Roman" w:hAnsi="Times New Roman"/>
          <w:sz w:val="24"/>
          <w:szCs w:val="24"/>
        </w:rPr>
        <w:t>demią, ponieważ pomoc finansowa</w:t>
      </w:r>
      <w:r w:rsidR="00A467B6">
        <w:rPr>
          <w:rFonts w:ascii="Times New Roman" w:hAnsi="Times New Roman"/>
          <w:sz w:val="24"/>
          <w:szCs w:val="24"/>
        </w:rPr>
        <w:t xml:space="preserve"> w ram</w:t>
      </w:r>
      <w:r>
        <w:rPr>
          <w:rFonts w:ascii="Times New Roman" w:hAnsi="Times New Roman"/>
          <w:sz w:val="24"/>
          <w:szCs w:val="24"/>
        </w:rPr>
        <w:t>ach SURE umożliwiłaby im także realokację finansowania, które już zostało zaplanowane na mechanizmy zmniejszonego wymiaru czasu pracy, na inne, szersze obszary polityki</w:t>
      </w:r>
      <w:r w:rsidR="00A467B6">
        <w:rPr>
          <w:rFonts w:ascii="Times New Roman" w:hAnsi="Times New Roman"/>
          <w:sz w:val="24"/>
          <w:szCs w:val="24"/>
        </w:rPr>
        <w:t xml:space="preserve"> w cel</w:t>
      </w:r>
      <w:r>
        <w:rPr>
          <w:rFonts w:ascii="Times New Roman" w:hAnsi="Times New Roman"/>
          <w:sz w:val="24"/>
          <w:szCs w:val="24"/>
        </w:rPr>
        <w:t xml:space="preserve">u zaradzenia społeczno-ekonomicznym skutkom pandemii. </w:t>
      </w:r>
    </w:p>
    <w:p w14:paraId="612C68BE" w14:textId="1F08FA41"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Większość państw członkowskich korzystających</w:t>
      </w:r>
      <w:r w:rsidR="00A467B6">
        <w:rPr>
          <w:rFonts w:ascii="Times New Roman" w:hAnsi="Times New Roman"/>
          <w:b/>
          <w:sz w:val="24"/>
          <w:szCs w:val="24"/>
        </w:rPr>
        <w:t xml:space="preserve"> z pom</w:t>
      </w:r>
      <w:r>
        <w:rPr>
          <w:rFonts w:ascii="Times New Roman" w:hAnsi="Times New Roman"/>
          <w:b/>
          <w:sz w:val="24"/>
          <w:szCs w:val="24"/>
        </w:rPr>
        <w:t>ocy wskazała, że wsparcie</w:t>
      </w:r>
      <w:r w:rsidR="00A467B6">
        <w:rPr>
          <w:rFonts w:ascii="Times New Roman" w:hAnsi="Times New Roman"/>
          <w:b/>
          <w:sz w:val="24"/>
          <w:szCs w:val="24"/>
        </w:rPr>
        <w:t xml:space="preserve"> w ram</w:t>
      </w:r>
      <w:r>
        <w:rPr>
          <w:rFonts w:ascii="Times New Roman" w:hAnsi="Times New Roman"/>
          <w:b/>
          <w:sz w:val="24"/>
          <w:szCs w:val="24"/>
        </w:rPr>
        <w:t>ach SURE odegrało rolę</w:t>
      </w:r>
      <w:r w:rsidR="00A467B6">
        <w:rPr>
          <w:rFonts w:ascii="Times New Roman" w:hAnsi="Times New Roman"/>
          <w:b/>
          <w:sz w:val="24"/>
          <w:szCs w:val="24"/>
        </w:rPr>
        <w:t xml:space="preserve"> w tym</w:t>
      </w:r>
      <w:r>
        <w:rPr>
          <w:rFonts w:ascii="Times New Roman" w:hAnsi="Times New Roman"/>
          <w:b/>
          <w:sz w:val="24"/>
          <w:szCs w:val="24"/>
        </w:rPr>
        <w:t>czasowym zwiększeniu zakresu</w:t>
      </w:r>
      <w:r w:rsidR="00A467B6">
        <w:rPr>
          <w:rFonts w:ascii="Times New Roman" w:hAnsi="Times New Roman"/>
          <w:b/>
          <w:sz w:val="24"/>
          <w:szCs w:val="24"/>
        </w:rPr>
        <w:t xml:space="preserve"> i </w:t>
      </w:r>
      <w:r w:rsidR="00A467B6">
        <w:rPr>
          <w:rFonts w:ascii="Times New Roman" w:hAnsi="Times New Roman"/>
          <w:b/>
          <w:sz w:val="24"/>
        </w:rPr>
        <w:t>pul</w:t>
      </w:r>
      <w:r>
        <w:rPr>
          <w:rFonts w:ascii="Times New Roman" w:hAnsi="Times New Roman"/>
          <w:b/>
          <w:sz w:val="24"/>
        </w:rPr>
        <w:t>i środków dostępnych</w:t>
      </w:r>
      <w:r w:rsidR="00A467B6">
        <w:rPr>
          <w:rFonts w:ascii="Times New Roman" w:hAnsi="Times New Roman"/>
          <w:b/>
          <w:sz w:val="24"/>
        </w:rPr>
        <w:t xml:space="preserve"> w ram</w:t>
      </w:r>
      <w:r>
        <w:rPr>
          <w:rFonts w:ascii="Times New Roman" w:hAnsi="Times New Roman"/>
          <w:b/>
          <w:sz w:val="24"/>
        </w:rPr>
        <w:t xml:space="preserve">ach </w:t>
      </w:r>
      <w:r>
        <w:rPr>
          <w:rFonts w:ascii="Times New Roman" w:hAnsi="Times New Roman"/>
          <w:b/>
          <w:sz w:val="24"/>
          <w:szCs w:val="24"/>
        </w:rPr>
        <w:t>mechanizmów zmniejszonego wymiaru czasu pracy</w:t>
      </w:r>
      <w:r w:rsidR="00A467B6">
        <w:rPr>
          <w:rFonts w:ascii="Times New Roman" w:hAnsi="Times New Roman"/>
          <w:b/>
          <w:sz w:val="24"/>
          <w:szCs w:val="24"/>
        </w:rPr>
        <w:t xml:space="preserve"> i pod</w:t>
      </w:r>
      <w:r>
        <w:rPr>
          <w:rFonts w:ascii="Times New Roman" w:hAnsi="Times New Roman"/>
          <w:b/>
          <w:sz w:val="24"/>
          <w:szCs w:val="24"/>
        </w:rPr>
        <w:t>obnych środków oraz</w:t>
      </w:r>
      <w:r w:rsidR="00A467B6">
        <w:rPr>
          <w:rFonts w:ascii="Times New Roman" w:hAnsi="Times New Roman"/>
          <w:b/>
          <w:sz w:val="24"/>
          <w:szCs w:val="24"/>
        </w:rPr>
        <w:t xml:space="preserve"> w ogó</w:t>
      </w:r>
      <w:r>
        <w:rPr>
          <w:rFonts w:ascii="Times New Roman" w:hAnsi="Times New Roman"/>
          <w:b/>
          <w:sz w:val="24"/>
          <w:szCs w:val="24"/>
        </w:rPr>
        <w:t>lnym finansowaniu polityk</w:t>
      </w:r>
      <w:r>
        <w:rPr>
          <w:rFonts w:ascii="Times New Roman" w:hAnsi="Times New Roman"/>
          <w:b/>
          <w:sz w:val="24"/>
        </w:rPr>
        <w:t xml:space="preserve"> </w:t>
      </w:r>
      <w:r>
        <w:rPr>
          <w:rFonts w:ascii="Times New Roman" w:hAnsi="Times New Roman"/>
          <w:b/>
          <w:sz w:val="24"/>
          <w:szCs w:val="24"/>
        </w:rPr>
        <w:t>mających na celu walkę</w:t>
      </w:r>
      <w:r w:rsidR="00A467B6">
        <w:rPr>
          <w:rFonts w:ascii="Times New Roman" w:hAnsi="Times New Roman"/>
          <w:b/>
          <w:sz w:val="24"/>
          <w:szCs w:val="24"/>
        </w:rPr>
        <w:t xml:space="preserve"> z kry</w:t>
      </w:r>
      <w:r>
        <w:rPr>
          <w:rFonts w:ascii="Times New Roman" w:hAnsi="Times New Roman"/>
          <w:b/>
          <w:sz w:val="24"/>
          <w:szCs w:val="24"/>
        </w:rPr>
        <w:t>zysem związanym z COVID-19.</w:t>
      </w:r>
      <w:r>
        <w:rPr>
          <w:rFonts w:ascii="Times New Roman" w:hAnsi="Times New Roman" w:cs="Times New Roman"/>
          <w:sz w:val="24"/>
          <w:vertAlign w:val="superscript"/>
          <w:lang w:val="en-US"/>
        </w:rPr>
        <w:footnoteReference w:id="39"/>
      </w:r>
      <w:r>
        <w:rPr>
          <w:rFonts w:ascii="Times New Roman" w:hAnsi="Times New Roman"/>
          <w:sz w:val="24"/>
          <w:szCs w:val="24"/>
        </w:rPr>
        <w:t xml:space="preserve"> Sześć państw członkowskich wskazało, że po zaproponowaniu przez Komisję utworzenia SURE zwiększyły one budżet na krajowe mechanizmy zmniejszonego wymiaru czasu pracy</w:t>
      </w:r>
      <w:r w:rsidR="00A467B6">
        <w:rPr>
          <w:rFonts w:ascii="Times New Roman" w:hAnsi="Times New Roman"/>
          <w:sz w:val="24"/>
          <w:szCs w:val="24"/>
        </w:rPr>
        <w:t>. W dwó</w:t>
      </w:r>
      <w:r>
        <w:rPr>
          <w:rFonts w:ascii="Times New Roman" w:hAnsi="Times New Roman"/>
          <w:sz w:val="24"/>
          <w:szCs w:val="24"/>
        </w:rPr>
        <w:t>ch</w:t>
      </w:r>
      <w:r w:rsidR="00A467B6">
        <w:rPr>
          <w:rFonts w:ascii="Times New Roman" w:hAnsi="Times New Roman"/>
          <w:sz w:val="24"/>
          <w:szCs w:val="24"/>
        </w:rPr>
        <w:t xml:space="preserve"> z tyc</w:t>
      </w:r>
      <w:r>
        <w:rPr>
          <w:rFonts w:ascii="Times New Roman" w:hAnsi="Times New Roman"/>
          <w:sz w:val="24"/>
          <w:szCs w:val="24"/>
        </w:rPr>
        <w:t>h przypadków uznano, że wpływ SURE na decyzję był wysoki.</w:t>
      </w:r>
    </w:p>
    <w:p w14:paraId="7FBB2D5E" w14:textId="77777777" w:rsidR="009D29AB" w:rsidRPr="000C43EC" w:rsidRDefault="009D29AB" w:rsidP="009D29AB">
      <w:pPr>
        <w:spacing w:before="120" w:after="120"/>
        <w:rPr>
          <w:rFonts w:ascii="Times New Roman" w:hAnsi="Times New Roman" w:cs="Times New Roman"/>
          <w:i/>
          <w:color w:val="000000" w:themeColor="text1"/>
          <w:szCs w:val="24"/>
        </w:rPr>
      </w:pPr>
    </w:p>
    <w:p w14:paraId="4AC86203" w14:textId="03C979DD" w:rsidR="009D29AB" w:rsidRPr="009D29AB" w:rsidRDefault="009D29AB" w:rsidP="00D61F7B">
      <w:pPr>
        <w:numPr>
          <w:ilvl w:val="1"/>
          <w:numId w:val="22"/>
        </w:numPr>
        <w:spacing w:before="120" w:after="120" w:line="240" w:lineRule="auto"/>
        <w:ind w:left="850" w:hanging="425"/>
        <w:jc w:val="both"/>
        <w:rPr>
          <w:rFonts w:ascii="Times New Roman" w:eastAsia="Times New Roman" w:hAnsi="Times New Roman" w:cs="Times New Roman"/>
          <w:i/>
          <w:color w:val="000000" w:themeColor="text1"/>
          <w:sz w:val="24"/>
          <w:szCs w:val="24"/>
        </w:rPr>
      </w:pPr>
      <w:r>
        <w:rPr>
          <w:rFonts w:ascii="Times New Roman" w:hAnsi="Times New Roman"/>
          <w:i/>
          <w:color w:val="000000" w:themeColor="text1"/>
          <w:sz w:val="24"/>
          <w:szCs w:val="24"/>
        </w:rPr>
        <w:t>Bliższe spojrzenie na bezpośredni skutek finansowy: szacowane oszczędności</w:t>
      </w:r>
      <w:r w:rsidR="00A467B6">
        <w:rPr>
          <w:rFonts w:ascii="Times New Roman" w:hAnsi="Times New Roman"/>
          <w:i/>
          <w:color w:val="000000" w:themeColor="text1"/>
          <w:sz w:val="24"/>
          <w:szCs w:val="24"/>
        </w:rPr>
        <w:t xml:space="preserve"> z tyt</w:t>
      </w:r>
      <w:r>
        <w:rPr>
          <w:rFonts w:ascii="Times New Roman" w:hAnsi="Times New Roman"/>
          <w:i/>
          <w:color w:val="000000" w:themeColor="text1"/>
          <w:sz w:val="24"/>
          <w:szCs w:val="24"/>
        </w:rPr>
        <w:t xml:space="preserve">ułu stopy procentowej </w:t>
      </w:r>
    </w:p>
    <w:p w14:paraId="0464F877" w14:textId="4355FE77" w:rsidR="009D29AB" w:rsidRPr="009D29AB" w:rsidRDefault="009D29AB" w:rsidP="009D29AB">
      <w:pPr>
        <w:spacing w:before="120" w:after="60"/>
        <w:jc w:val="both"/>
        <w:rPr>
          <w:rFonts w:ascii="Times New Roman" w:hAnsi="Times New Roman" w:cs="Times New Roman"/>
          <w:sz w:val="24"/>
          <w:szCs w:val="24"/>
        </w:rPr>
      </w:pPr>
      <w:r>
        <w:rPr>
          <w:rFonts w:ascii="Times New Roman" w:hAnsi="Times New Roman"/>
          <w:b/>
          <w:sz w:val="24"/>
          <w:szCs w:val="24"/>
        </w:rPr>
        <w:t>Wiele państw członkowskich – dzięki temu, że otrzymały one pomoc finansową</w:t>
      </w:r>
      <w:r w:rsidR="00A467B6">
        <w:rPr>
          <w:rFonts w:ascii="Times New Roman" w:hAnsi="Times New Roman"/>
          <w:b/>
          <w:sz w:val="24"/>
          <w:szCs w:val="24"/>
        </w:rPr>
        <w:t xml:space="preserve"> w ram</w:t>
      </w:r>
      <w:r>
        <w:rPr>
          <w:rFonts w:ascii="Times New Roman" w:hAnsi="Times New Roman"/>
          <w:b/>
          <w:sz w:val="24"/>
          <w:szCs w:val="24"/>
        </w:rPr>
        <w:t>ach SURE – oszczędziło na płatnościach odsetek</w:t>
      </w:r>
      <w:r>
        <w:rPr>
          <w:rFonts w:ascii="Times New Roman" w:hAnsi="Times New Roman"/>
          <w:sz w:val="24"/>
          <w:szCs w:val="24"/>
        </w:rPr>
        <w:t>. Dzięki pożyczkom</w:t>
      </w:r>
      <w:r w:rsidR="00A467B6">
        <w:rPr>
          <w:rFonts w:ascii="Times New Roman" w:hAnsi="Times New Roman"/>
          <w:sz w:val="24"/>
          <w:szCs w:val="24"/>
        </w:rPr>
        <w:t xml:space="preserve"> w ram</w:t>
      </w:r>
      <w:r>
        <w:rPr>
          <w:rFonts w:ascii="Times New Roman" w:hAnsi="Times New Roman"/>
          <w:sz w:val="24"/>
          <w:szCs w:val="24"/>
        </w:rPr>
        <w:t>ach SURE zaoferowano państwom członkowskim niższe stopy procentowe, niż gdyby same wyemitowały one dług państwowy</w:t>
      </w:r>
      <w:r w:rsidR="00A467B6">
        <w:rPr>
          <w:rFonts w:ascii="Times New Roman" w:hAnsi="Times New Roman"/>
          <w:sz w:val="24"/>
          <w:szCs w:val="24"/>
        </w:rPr>
        <w:t xml:space="preserve"> w cel</w:t>
      </w:r>
      <w:r>
        <w:rPr>
          <w:rFonts w:ascii="Times New Roman" w:hAnsi="Times New Roman"/>
          <w:sz w:val="24"/>
          <w:szCs w:val="24"/>
        </w:rPr>
        <w:t>u sfinansowania mechanizmów zmniejszonego wymiaru czasu pracy lub podobnych środków. Obligacje społeczne SURE wyemitowano</w:t>
      </w:r>
      <w:r w:rsidR="00A467B6">
        <w:rPr>
          <w:rFonts w:ascii="Times New Roman" w:hAnsi="Times New Roman"/>
          <w:sz w:val="24"/>
          <w:szCs w:val="24"/>
        </w:rPr>
        <w:t xml:space="preserve"> z bar</w:t>
      </w:r>
      <w:r>
        <w:rPr>
          <w:rFonts w:ascii="Times New Roman" w:hAnsi="Times New Roman"/>
          <w:sz w:val="24"/>
          <w:szCs w:val="24"/>
        </w:rPr>
        <w:t>dzo niskim oprocentowaniem, nawet przy długich terminach zapadalności, ze względu na unijny rating kredytowy AAA oraz płynność tych obligacji.</w:t>
      </w:r>
    </w:p>
    <w:p w14:paraId="309CABDF" w14:textId="288729B2" w:rsidR="009D29AB" w:rsidRPr="009D29AB" w:rsidRDefault="009D29AB" w:rsidP="009D29AB">
      <w:pPr>
        <w:spacing w:before="120" w:after="120"/>
        <w:jc w:val="both"/>
        <w:rPr>
          <w:rFonts w:ascii="Times New Roman" w:hAnsi="Times New Roman" w:cs="Times New Roman"/>
          <w:sz w:val="24"/>
          <w:szCs w:val="24"/>
        </w:rPr>
      </w:pPr>
      <w:r>
        <w:rPr>
          <w:rFonts w:ascii="Times New Roman" w:hAnsi="Times New Roman"/>
          <w:b/>
          <w:color w:val="000000" w:themeColor="text1"/>
          <w:sz w:val="24"/>
          <w:szCs w:val="24"/>
        </w:rPr>
        <w:t>Szacuje się, że państwa członkowskie zaoszczędziły łącznie 5,8 mld EUR podczas pierwszych czterech emisji</w:t>
      </w:r>
      <w:r w:rsidR="00A467B6">
        <w:rPr>
          <w:rFonts w:ascii="Times New Roman" w:hAnsi="Times New Roman"/>
          <w:b/>
          <w:color w:val="000000" w:themeColor="text1"/>
          <w:sz w:val="24"/>
          <w:szCs w:val="24"/>
        </w:rPr>
        <w:t xml:space="preserve"> w ram</w:t>
      </w:r>
      <w:r>
        <w:rPr>
          <w:rFonts w:ascii="Times New Roman" w:hAnsi="Times New Roman"/>
          <w:b/>
          <w:color w:val="000000" w:themeColor="text1"/>
          <w:sz w:val="24"/>
          <w:szCs w:val="24"/>
        </w:rPr>
        <w:t>ach SURE, tj. do chwili wypłaty</w:t>
      </w:r>
      <w:r w:rsidR="00A467B6">
        <w:rPr>
          <w:rFonts w:ascii="Times New Roman" w:hAnsi="Times New Roman"/>
          <w:b/>
          <w:color w:val="000000" w:themeColor="text1"/>
          <w:sz w:val="24"/>
          <w:szCs w:val="24"/>
        </w:rPr>
        <w:t xml:space="preserve"> w dni</w:t>
      </w:r>
      <w:r>
        <w:rPr>
          <w:rFonts w:ascii="Times New Roman" w:hAnsi="Times New Roman"/>
          <w:b/>
          <w:color w:val="000000" w:themeColor="text1"/>
          <w:sz w:val="24"/>
          <w:szCs w:val="24"/>
        </w:rPr>
        <w:t>u 2 lutego 20</w:t>
      </w:r>
      <w:r w:rsidRPr="00A467B6">
        <w:rPr>
          <w:rFonts w:ascii="Times New Roman" w:hAnsi="Times New Roman"/>
          <w:b/>
          <w:color w:val="000000" w:themeColor="text1"/>
          <w:sz w:val="24"/>
          <w:szCs w:val="24"/>
        </w:rPr>
        <w:t>21</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r.</w:t>
      </w:r>
      <w:r>
        <w:rPr>
          <w:rFonts w:ascii="Times New Roman" w:hAnsi="Times New Roman"/>
          <w:color w:val="000000" w:themeColor="text1"/>
          <w:sz w:val="24"/>
          <w:szCs w:val="24"/>
        </w:rPr>
        <w:t xml:space="preserve"> Kwota ta wzrośnie wraz</w:t>
      </w:r>
      <w:r w:rsidR="00A467B6">
        <w:rPr>
          <w:rFonts w:ascii="Times New Roman" w:hAnsi="Times New Roman"/>
          <w:color w:val="000000" w:themeColor="text1"/>
          <w:sz w:val="24"/>
          <w:szCs w:val="24"/>
        </w:rPr>
        <w:t xml:space="preserve"> z kol</w:t>
      </w:r>
      <w:r>
        <w:rPr>
          <w:rFonts w:ascii="Times New Roman" w:hAnsi="Times New Roman"/>
          <w:color w:val="000000" w:themeColor="text1"/>
          <w:sz w:val="24"/>
          <w:szCs w:val="24"/>
        </w:rPr>
        <w:t>ejnymi wypłatami</w:t>
      </w:r>
      <w:r w:rsidR="00A467B6">
        <w:rPr>
          <w:rFonts w:ascii="Times New Roman" w:hAnsi="Times New Roman"/>
          <w:color w:val="000000" w:themeColor="text1"/>
          <w:sz w:val="24"/>
          <w:szCs w:val="24"/>
        </w:rPr>
        <w:t>. W zwi</w:t>
      </w:r>
      <w:r>
        <w:rPr>
          <w:rFonts w:ascii="Times New Roman" w:hAnsi="Times New Roman"/>
          <w:color w:val="000000" w:themeColor="text1"/>
          <w:sz w:val="24"/>
          <w:szCs w:val="24"/>
        </w:rPr>
        <w:t>ązku</w:t>
      </w:r>
      <w:r w:rsidR="00A467B6">
        <w:rPr>
          <w:rFonts w:ascii="Times New Roman" w:hAnsi="Times New Roman"/>
          <w:color w:val="000000" w:themeColor="text1"/>
          <w:sz w:val="24"/>
          <w:szCs w:val="24"/>
        </w:rPr>
        <w:t xml:space="preserve"> z tym</w:t>
      </w:r>
      <w:r>
        <w:rPr>
          <w:rFonts w:ascii="Times New Roman" w:hAnsi="Times New Roman"/>
          <w:color w:val="000000" w:themeColor="text1"/>
          <w:sz w:val="24"/>
          <w:szCs w:val="24"/>
        </w:rPr>
        <w:t xml:space="preserve"> przedstawione szacunki prawdopodobnie odpowiadają dolnej granicy</w:t>
      </w:r>
      <w:r w:rsidR="00A467B6">
        <w:rPr>
          <w:rFonts w:ascii="Times New Roman" w:hAnsi="Times New Roman"/>
          <w:color w:val="000000" w:themeColor="text1"/>
          <w:sz w:val="24"/>
          <w:szCs w:val="24"/>
        </w:rPr>
        <w:t xml:space="preserve"> i będ</w:t>
      </w:r>
      <w:r>
        <w:rPr>
          <w:rFonts w:ascii="Times New Roman" w:hAnsi="Times New Roman"/>
          <w:color w:val="000000" w:themeColor="text1"/>
          <w:sz w:val="24"/>
          <w:szCs w:val="24"/>
        </w:rPr>
        <w:t>ą rosnąć</w:t>
      </w:r>
      <w:r w:rsidR="00A467B6">
        <w:rPr>
          <w:rFonts w:ascii="Times New Roman" w:hAnsi="Times New Roman"/>
          <w:color w:val="000000" w:themeColor="text1"/>
          <w:sz w:val="24"/>
          <w:szCs w:val="24"/>
        </w:rPr>
        <w:t xml:space="preserve"> w mia</w:t>
      </w:r>
      <w:r>
        <w:rPr>
          <w:rFonts w:ascii="Times New Roman" w:hAnsi="Times New Roman"/>
          <w:color w:val="000000" w:themeColor="text1"/>
          <w:sz w:val="24"/>
          <w:szCs w:val="24"/>
        </w:rPr>
        <w:t>rę wypłacania pozostałej kwoty 36,8 mld EUR</w:t>
      </w:r>
      <w:r w:rsidR="00A467B6">
        <w:rPr>
          <w:rFonts w:ascii="Times New Roman" w:hAnsi="Times New Roman"/>
          <w:color w:val="000000" w:themeColor="text1"/>
          <w:sz w:val="24"/>
          <w:szCs w:val="24"/>
        </w:rPr>
        <w:t xml:space="preserve">. </w:t>
      </w:r>
      <w:r w:rsidR="00A467B6">
        <w:rPr>
          <w:rFonts w:ascii="Times New Roman" w:hAnsi="Times New Roman"/>
          <w:sz w:val="24"/>
          <w:szCs w:val="24"/>
        </w:rPr>
        <w:t>W</w:t>
      </w:r>
      <w:r w:rsidR="00A467B6">
        <w:rPr>
          <w:rFonts w:ascii="Times New Roman" w:hAnsi="Times New Roman"/>
          <w:color w:val="000000" w:themeColor="text1"/>
          <w:sz w:val="24"/>
          <w:szCs w:val="24"/>
        </w:rPr>
        <w:t> </w:t>
      </w:r>
      <w:r w:rsidR="00A467B6">
        <w:rPr>
          <w:rFonts w:ascii="Times New Roman" w:hAnsi="Times New Roman"/>
          <w:sz w:val="24"/>
          <w:szCs w:val="24"/>
        </w:rPr>
        <w:t>tab</w:t>
      </w:r>
      <w:r>
        <w:rPr>
          <w:rFonts w:ascii="Times New Roman" w:hAnsi="Times New Roman"/>
          <w:sz w:val="24"/>
          <w:szCs w:val="24"/>
        </w:rPr>
        <w:t>eli 7 przedstawiono oszczędności</w:t>
      </w:r>
      <w:r w:rsidR="00A467B6">
        <w:rPr>
          <w:rFonts w:ascii="Times New Roman" w:hAnsi="Times New Roman"/>
          <w:sz w:val="24"/>
          <w:szCs w:val="24"/>
        </w:rPr>
        <w:t xml:space="preserve"> z tyt</w:t>
      </w:r>
      <w:r>
        <w:rPr>
          <w:rFonts w:ascii="Times New Roman" w:hAnsi="Times New Roman"/>
          <w:sz w:val="24"/>
          <w:szCs w:val="24"/>
        </w:rPr>
        <w:t>ułu odsetek</w:t>
      </w:r>
      <w:r w:rsidR="00A467B6">
        <w:rPr>
          <w:rFonts w:ascii="Times New Roman" w:hAnsi="Times New Roman"/>
          <w:sz w:val="24"/>
          <w:szCs w:val="24"/>
        </w:rPr>
        <w:t xml:space="preserve"> w pod</w:t>
      </w:r>
      <w:r>
        <w:rPr>
          <w:rFonts w:ascii="Times New Roman" w:hAnsi="Times New Roman"/>
          <w:sz w:val="24"/>
          <w:szCs w:val="24"/>
        </w:rPr>
        <w:t>ziale na państwa członkowskie, natomiast</w:t>
      </w:r>
      <w:r w:rsidR="00A467B6">
        <w:rPr>
          <w:rFonts w:ascii="Times New Roman" w:hAnsi="Times New Roman"/>
          <w:sz w:val="24"/>
          <w:szCs w:val="24"/>
        </w:rPr>
        <w:t xml:space="preserve"> w ram</w:t>
      </w:r>
      <w:r>
        <w:rPr>
          <w:rFonts w:ascii="Times New Roman" w:hAnsi="Times New Roman"/>
          <w:sz w:val="24"/>
          <w:szCs w:val="24"/>
        </w:rPr>
        <w:t>ce 1 wyjaśniono bardziej szczegółowo zastosowaną metodę</w:t>
      </w:r>
      <w:r>
        <w:rPr>
          <w:rFonts w:ascii="Times New Roman" w:hAnsi="Times New Roman" w:cs="Times New Roman"/>
          <w:sz w:val="24"/>
          <w:szCs w:val="24"/>
          <w:vertAlign w:val="superscript"/>
        </w:rPr>
        <w:footnoteReference w:id="40"/>
      </w:r>
      <w:r>
        <w:rPr>
          <w:rFonts w:ascii="Times New Roman" w:hAnsi="Times New Roman"/>
          <w:sz w:val="24"/>
          <w:szCs w:val="24"/>
        </w:rPr>
        <w:t>.</w:t>
      </w:r>
    </w:p>
    <w:tbl>
      <w:tblPr>
        <w:tblStyle w:val="TableGrid"/>
        <w:tblpPr w:leftFromText="180" w:rightFromText="180" w:vertAnchor="text" w:horzAnchor="margin" w:tblpY="317"/>
        <w:tblW w:w="0" w:type="auto"/>
        <w:tblLook w:val="04A0" w:firstRow="1" w:lastRow="0" w:firstColumn="1" w:lastColumn="0" w:noHBand="0" w:noVBand="1"/>
      </w:tblPr>
      <w:tblGrid>
        <w:gridCol w:w="9242"/>
      </w:tblGrid>
      <w:tr w:rsidR="009D29AB" w:rsidRPr="0044230C" w14:paraId="37EC99A2" w14:textId="77777777" w:rsidTr="00D61F7B">
        <w:tc>
          <w:tcPr>
            <w:tcW w:w="9242" w:type="dxa"/>
            <w:shd w:val="clear" w:color="auto" w:fill="F2F2F2" w:themeFill="background1" w:themeFillShade="F2"/>
          </w:tcPr>
          <w:p w14:paraId="057A5E29" w14:textId="39313C6B" w:rsidR="009D29AB" w:rsidRPr="009D29AB" w:rsidRDefault="009D29AB" w:rsidP="009D29AB">
            <w:pPr>
              <w:spacing w:after="120"/>
              <w:jc w:val="both"/>
              <w:rPr>
                <w:rFonts w:ascii="Times New Roman" w:hAnsi="Times New Roman" w:cs="Times New Roman"/>
                <w:b/>
                <w:sz w:val="24"/>
                <w:szCs w:val="24"/>
              </w:rPr>
            </w:pPr>
            <w:r>
              <w:rPr>
                <w:rFonts w:ascii="Times New Roman" w:hAnsi="Times New Roman"/>
                <w:b/>
                <w:sz w:val="24"/>
                <w:szCs w:val="24"/>
              </w:rPr>
              <w:t>Ramka 1: Obliczanie oszczędności</w:t>
            </w:r>
            <w:r w:rsidR="00A467B6">
              <w:rPr>
                <w:rFonts w:ascii="Times New Roman" w:hAnsi="Times New Roman"/>
                <w:b/>
                <w:sz w:val="24"/>
                <w:szCs w:val="24"/>
              </w:rPr>
              <w:t xml:space="preserve"> z tyt</w:t>
            </w:r>
            <w:r>
              <w:rPr>
                <w:rFonts w:ascii="Times New Roman" w:hAnsi="Times New Roman"/>
                <w:b/>
                <w:sz w:val="24"/>
                <w:szCs w:val="24"/>
              </w:rPr>
              <w:t>ułu stopy procentowej</w:t>
            </w:r>
          </w:p>
          <w:p w14:paraId="427AFDB2" w14:textId="422792A1"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W przypadku 53,5 mld EUR wyemitowanych</w:t>
            </w:r>
            <w:r w:rsidR="00A467B6">
              <w:rPr>
                <w:rFonts w:ascii="Times New Roman" w:hAnsi="Times New Roman"/>
                <w:sz w:val="24"/>
                <w:szCs w:val="24"/>
              </w:rPr>
              <w:t xml:space="preserve"> w pie</w:t>
            </w:r>
            <w:r>
              <w:rPr>
                <w:rFonts w:ascii="Times New Roman" w:hAnsi="Times New Roman"/>
                <w:sz w:val="24"/>
                <w:szCs w:val="24"/>
              </w:rPr>
              <w:t>rwszych czterech transakcjach Komisja była</w:t>
            </w:r>
            <w:r w:rsidR="00A467B6">
              <w:rPr>
                <w:rFonts w:ascii="Times New Roman" w:hAnsi="Times New Roman"/>
                <w:sz w:val="24"/>
                <w:szCs w:val="24"/>
              </w:rPr>
              <w:t xml:space="preserve"> w sta</w:t>
            </w:r>
            <w:r>
              <w:rPr>
                <w:rFonts w:ascii="Times New Roman" w:hAnsi="Times New Roman"/>
                <w:sz w:val="24"/>
                <w:szCs w:val="24"/>
              </w:rPr>
              <w:t>nie uzyskać korzystne warunki – stopy zwrotu wahały się od -0,5</w:t>
            </w:r>
            <w:r w:rsidRPr="00A467B6">
              <w:rPr>
                <w:rFonts w:ascii="Times New Roman" w:hAnsi="Times New Roman"/>
                <w:sz w:val="24"/>
                <w:szCs w:val="24"/>
              </w:rPr>
              <w:t>1</w:t>
            </w:r>
            <w:r w:rsidR="00A467B6" w:rsidRPr="00A467B6">
              <w:rPr>
                <w:rFonts w:ascii="Times New Roman" w:hAnsi="Times New Roman"/>
                <w:sz w:val="24"/>
                <w:szCs w:val="24"/>
              </w:rPr>
              <w:t> </w:t>
            </w:r>
            <w:r w:rsidRPr="00A467B6">
              <w:rPr>
                <w:rFonts w:ascii="Times New Roman" w:hAnsi="Times New Roman"/>
                <w:sz w:val="24"/>
                <w:szCs w:val="24"/>
              </w:rPr>
              <w:t>%</w:t>
            </w:r>
            <w:r>
              <w:rPr>
                <w:rFonts w:ascii="Times New Roman" w:hAnsi="Times New Roman"/>
                <w:sz w:val="24"/>
                <w:szCs w:val="24"/>
              </w:rPr>
              <w:t xml:space="preserve"> do +0,3</w:t>
            </w:r>
            <w:r w:rsidRPr="00A467B6">
              <w:rPr>
                <w:rFonts w:ascii="Times New Roman" w:hAnsi="Times New Roman"/>
                <w:sz w:val="24"/>
                <w:szCs w:val="24"/>
              </w:rPr>
              <w:t>2</w:t>
            </w:r>
            <w:r w:rsidR="00A467B6" w:rsidRPr="00A467B6">
              <w:rPr>
                <w:rFonts w:ascii="Times New Roman" w:hAnsi="Times New Roman"/>
                <w:sz w:val="24"/>
                <w:szCs w:val="24"/>
              </w:rPr>
              <w:t> </w:t>
            </w:r>
            <w:r w:rsidRPr="00A467B6">
              <w:rPr>
                <w:rFonts w:ascii="Times New Roman" w:hAnsi="Times New Roman"/>
                <w:sz w:val="24"/>
                <w:szCs w:val="24"/>
              </w:rPr>
              <w:t>%</w:t>
            </w:r>
            <w:r>
              <w:rPr>
                <w:rFonts w:ascii="Times New Roman" w:hAnsi="Times New Roman"/>
                <w:sz w:val="24"/>
                <w:szCs w:val="24"/>
              </w:rPr>
              <w:t>,</w:t>
            </w:r>
            <w:r w:rsidR="00A467B6">
              <w:rPr>
                <w:rFonts w:ascii="Times New Roman" w:hAnsi="Times New Roman"/>
                <w:sz w:val="24"/>
                <w:szCs w:val="24"/>
              </w:rPr>
              <w:t xml:space="preserve"> w zal</w:t>
            </w:r>
            <w:r>
              <w:rPr>
                <w:rFonts w:ascii="Times New Roman" w:hAnsi="Times New Roman"/>
                <w:sz w:val="24"/>
                <w:szCs w:val="24"/>
              </w:rPr>
              <w:t>eżności od terminu zapadalności</w:t>
            </w:r>
            <w:r w:rsidR="00A467B6">
              <w:rPr>
                <w:rFonts w:ascii="Times New Roman" w:hAnsi="Times New Roman"/>
                <w:sz w:val="24"/>
                <w:szCs w:val="24"/>
              </w:rPr>
              <w:t xml:space="preserve"> i dat</w:t>
            </w:r>
            <w:r>
              <w:rPr>
                <w:rFonts w:ascii="Times New Roman" w:hAnsi="Times New Roman"/>
                <w:sz w:val="24"/>
                <w:szCs w:val="24"/>
              </w:rPr>
              <w:t>y emisji. Warunki te bezpośrednio przeniesiono na państwa członkowskie poprzez pożyczki wzajemne. Własne warunki finansowania państw członkowskich</w:t>
            </w:r>
            <w:r w:rsidR="00A467B6">
              <w:rPr>
                <w:rFonts w:ascii="Times New Roman" w:hAnsi="Times New Roman"/>
                <w:sz w:val="24"/>
                <w:szCs w:val="24"/>
              </w:rPr>
              <w:t xml:space="preserve"> w chw</w:t>
            </w:r>
            <w:r>
              <w:rPr>
                <w:rFonts w:ascii="Times New Roman" w:hAnsi="Times New Roman"/>
                <w:sz w:val="24"/>
                <w:szCs w:val="24"/>
              </w:rPr>
              <w:t>ili wypłaty środków były zasadniczo mniej korzystne niż warunki uzyskane przez Komisję</w:t>
            </w:r>
            <w:r w:rsidR="00A467B6">
              <w:rPr>
                <w:rFonts w:ascii="Times New Roman" w:hAnsi="Times New Roman"/>
                <w:sz w:val="24"/>
                <w:szCs w:val="24"/>
              </w:rPr>
              <w:t>. W zwi</w:t>
            </w:r>
            <w:r>
              <w:rPr>
                <w:rFonts w:ascii="Times New Roman" w:hAnsi="Times New Roman"/>
                <w:sz w:val="24"/>
                <w:szCs w:val="24"/>
              </w:rPr>
              <w:t>ązku</w:t>
            </w:r>
            <w:r w:rsidR="00A467B6">
              <w:rPr>
                <w:rFonts w:ascii="Times New Roman" w:hAnsi="Times New Roman"/>
                <w:sz w:val="24"/>
                <w:szCs w:val="24"/>
              </w:rPr>
              <w:t xml:space="preserve"> z tym</w:t>
            </w:r>
            <w:r>
              <w:rPr>
                <w:rFonts w:ascii="Times New Roman" w:hAnsi="Times New Roman"/>
                <w:sz w:val="24"/>
                <w:szCs w:val="24"/>
              </w:rPr>
              <w:t xml:space="preserve"> pożyczki wypłacone</w:t>
            </w:r>
            <w:r w:rsidR="00A467B6">
              <w:rPr>
                <w:rFonts w:ascii="Times New Roman" w:hAnsi="Times New Roman"/>
                <w:sz w:val="24"/>
                <w:szCs w:val="24"/>
              </w:rPr>
              <w:t xml:space="preserve"> w ram</w:t>
            </w:r>
            <w:r>
              <w:rPr>
                <w:rFonts w:ascii="Times New Roman" w:hAnsi="Times New Roman"/>
                <w:sz w:val="24"/>
                <w:szCs w:val="24"/>
              </w:rPr>
              <w:t>ach SURE przyniosły państwom członkowskim oszczędności</w:t>
            </w:r>
            <w:r w:rsidR="00A467B6">
              <w:rPr>
                <w:rFonts w:ascii="Times New Roman" w:hAnsi="Times New Roman"/>
                <w:sz w:val="24"/>
                <w:szCs w:val="24"/>
              </w:rPr>
              <w:t xml:space="preserve"> z tyt</w:t>
            </w:r>
            <w:r>
              <w:rPr>
                <w:rFonts w:ascii="Times New Roman" w:hAnsi="Times New Roman"/>
                <w:sz w:val="24"/>
                <w:szCs w:val="24"/>
              </w:rPr>
              <w:t xml:space="preserve">ułu odsetek. </w:t>
            </w:r>
          </w:p>
          <w:p w14:paraId="0363755A" w14:textId="2EFA7116"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Aby obliczyć oszczędności, zakłada się, że</w:t>
            </w:r>
            <w:r w:rsidR="00A467B6">
              <w:rPr>
                <w:rFonts w:ascii="Times New Roman" w:hAnsi="Times New Roman"/>
                <w:sz w:val="24"/>
                <w:szCs w:val="24"/>
              </w:rPr>
              <w:t xml:space="preserve"> w prz</w:t>
            </w:r>
            <w:r>
              <w:rPr>
                <w:rFonts w:ascii="Times New Roman" w:hAnsi="Times New Roman"/>
                <w:sz w:val="24"/>
                <w:szCs w:val="24"/>
              </w:rPr>
              <w:t>ypadku braku pożyczek z SURE państwa członkowskie wyemitowałyby obligacje</w:t>
            </w:r>
            <w:r w:rsidR="00A467B6">
              <w:rPr>
                <w:rFonts w:ascii="Times New Roman" w:hAnsi="Times New Roman"/>
                <w:sz w:val="24"/>
                <w:szCs w:val="24"/>
              </w:rPr>
              <w:t xml:space="preserve"> o tak</w:t>
            </w:r>
            <w:r>
              <w:rPr>
                <w:rFonts w:ascii="Times New Roman" w:hAnsi="Times New Roman"/>
                <w:sz w:val="24"/>
                <w:szCs w:val="24"/>
              </w:rPr>
              <w:t>ich samych parametrach (tj. terminie zapadalności</w:t>
            </w:r>
            <w:r w:rsidR="00A467B6">
              <w:rPr>
                <w:rFonts w:ascii="Times New Roman" w:hAnsi="Times New Roman"/>
                <w:sz w:val="24"/>
                <w:szCs w:val="24"/>
              </w:rPr>
              <w:t xml:space="preserve"> i kup</w:t>
            </w:r>
            <w:r>
              <w:rPr>
                <w:rFonts w:ascii="Times New Roman" w:hAnsi="Times New Roman"/>
                <w:sz w:val="24"/>
                <w:szCs w:val="24"/>
              </w:rPr>
              <w:t>onie) jak unijne obligacje SURE</w:t>
            </w:r>
            <w:r w:rsidR="00A467B6">
              <w:rPr>
                <w:rFonts w:ascii="Times New Roman" w:hAnsi="Times New Roman"/>
                <w:sz w:val="24"/>
                <w:szCs w:val="24"/>
              </w:rPr>
              <w:t xml:space="preserve"> w dni</w:t>
            </w:r>
            <w:r>
              <w:rPr>
                <w:rFonts w:ascii="Times New Roman" w:hAnsi="Times New Roman"/>
                <w:sz w:val="24"/>
                <w:szCs w:val="24"/>
              </w:rPr>
              <w:t>u wypłaty pożyczek. Różnica pomiędzy ceną emisyjną każdej unijnej obligacji SURE</w:t>
            </w:r>
            <w:r w:rsidR="00A467B6">
              <w:rPr>
                <w:rFonts w:ascii="Times New Roman" w:hAnsi="Times New Roman"/>
                <w:sz w:val="24"/>
                <w:szCs w:val="24"/>
              </w:rPr>
              <w:t xml:space="preserve"> a cen</w:t>
            </w:r>
            <w:r>
              <w:rPr>
                <w:rFonts w:ascii="Times New Roman" w:hAnsi="Times New Roman"/>
                <w:sz w:val="24"/>
                <w:szCs w:val="24"/>
              </w:rPr>
              <w:t>ą emisyjną tej alternatywnej obligacji, pomnożona przez kwotę pożyczki, stanowi szacunkową wartość oszczędności</w:t>
            </w:r>
            <w:r w:rsidR="00A467B6">
              <w:rPr>
                <w:rFonts w:ascii="Times New Roman" w:hAnsi="Times New Roman"/>
                <w:sz w:val="24"/>
                <w:szCs w:val="24"/>
              </w:rPr>
              <w:t xml:space="preserve"> z tyt</w:t>
            </w:r>
            <w:r>
              <w:rPr>
                <w:rFonts w:ascii="Times New Roman" w:hAnsi="Times New Roman"/>
                <w:sz w:val="24"/>
                <w:szCs w:val="24"/>
              </w:rPr>
              <w:t>ułu odsetek. Różnica ta jest funkcją spreadów pomiędzy krajową krzywą rentowności</w:t>
            </w:r>
            <w:r w:rsidR="00A467B6">
              <w:rPr>
                <w:rFonts w:ascii="Times New Roman" w:hAnsi="Times New Roman"/>
                <w:sz w:val="24"/>
                <w:szCs w:val="24"/>
              </w:rPr>
              <w:t xml:space="preserve"> a uni</w:t>
            </w:r>
            <w:r>
              <w:rPr>
                <w:rFonts w:ascii="Times New Roman" w:hAnsi="Times New Roman"/>
                <w:sz w:val="24"/>
                <w:szCs w:val="24"/>
              </w:rPr>
              <w:t>jną krzywą rentowności SURE</w:t>
            </w:r>
            <w:r w:rsidR="00A467B6">
              <w:rPr>
                <w:rFonts w:ascii="Times New Roman" w:hAnsi="Times New Roman"/>
                <w:sz w:val="24"/>
                <w:szCs w:val="24"/>
              </w:rPr>
              <w:t xml:space="preserve"> w chw</w:t>
            </w:r>
            <w:r>
              <w:rPr>
                <w:rFonts w:ascii="Times New Roman" w:hAnsi="Times New Roman"/>
                <w:sz w:val="24"/>
                <w:szCs w:val="24"/>
              </w:rPr>
              <w:t xml:space="preserve">ili wypłaty oraz profilu zapadalności każdej pożyczki. </w:t>
            </w:r>
          </w:p>
          <w:p w14:paraId="1999AF73" w14:textId="015F6765" w:rsidR="009D29AB" w:rsidRPr="009D29AB" w:rsidRDefault="009D29AB" w:rsidP="009D29AB">
            <w:pPr>
              <w:spacing w:after="120"/>
              <w:jc w:val="both"/>
              <w:rPr>
                <w:rFonts w:ascii="Times New Roman" w:hAnsi="Times New Roman" w:cs="Times New Roman"/>
                <w:sz w:val="24"/>
                <w:szCs w:val="24"/>
              </w:rPr>
            </w:pPr>
            <w:r>
              <w:rPr>
                <w:rFonts w:ascii="Times New Roman" w:hAnsi="Times New Roman"/>
                <w:sz w:val="24"/>
                <w:szCs w:val="24"/>
              </w:rPr>
              <w:t>Średni termin zapadalności pożyczek</w:t>
            </w:r>
            <w:r w:rsidR="00A467B6">
              <w:rPr>
                <w:rFonts w:ascii="Times New Roman" w:hAnsi="Times New Roman"/>
                <w:sz w:val="24"/>
                <w:szCs w:val="24"/>
              </w:rPr>
              <w:t xml:space="preserve"> w ram</w:t>
            </w:r>
            <w:r>
              <w:rPr>
                <w:rFonts w:ascii="Times New Roman" w:hAnsi="Times New Roman"/>
                <w:sz w:val="24"/>
                <w:szCs w:val="24"/>
              </w:rPr>
              <w:t>ach SURE wynosi nieco mniej niż 15 lat we wszystkich państwach członkowskich,</w:t>
            </w:r>
            <w:r w:rsidR="00A467B6">
              <w:rPr>
                <w:rFonts w:ascii="Times New Roman" w:hAnsi="Times New Roman"/>
                <w:sz w:val="24"/>
                <w:szCs w:val="24"/>
              </w:rPr>
              <w:t xml:space="preserve"> a śre</w:t>
            </w:r>
            <w:r>
              <w:rPr>
                <w:rFonts w:ascii="Times New Roman" w:hAnsi="Times New Roman"/>
                <w:sz w:val="24"/>
                <w:szCs w:val="24"/>
              </w:rPr>
              <w:t>dni spread między krajowymi stopami zwrotu</w:t>
            </w:r>
            <w:r w:rsidR="00A467B6">
              <w:rPr>
                <w:rFonts w:ascii="Times New Roman" w:hAnsi="Times New Roman"/>
                <w:sz w:val="24"/>
                <w:szCs w:val="24"/>
              </w:rPr>
              <w:t xml:space="preserve"> a uni</w:t>
            </w:r>
            <w:r>
              <w:rPr>
                <w:rFonts w:ascii="Times New Roman" w:hAnsi="Times New Roman"/>
                <w:sz w:val="24"/>
                <w:szCs w:val="24"/>
              </w:rPr>
              <w:t>jnymi stopami zwrotu</w:t>
            </w:r>
            <w:r w:rsidR="00A467B6">
              <w:rPr>
                <w:rFonts w:ascii="Times New Roman" w:hAnsi="Times New Roman"/>
                <w:sz w:val="24"/>
                <w:szCs w:val="24"/>
              </w:rPr>
              <w:t xml:space="preserve"> w ram</w:t>
            </w:r>
            <w:r>
              <w:rPr>
                <w:rFonts w:ascii="Times New Roman" w:hAnsi="Times New Roman"/>
                <w:sz w:val="24"/>
                <w:szCs w:val="24"/>
              </w:rPr>
              <w:t>ach SURE wynosi około 0,8 punktu procentowego</w:t>
            </w:r>
            <w:r w:rsidR="00A467B6">
              <w:rPr>
                <w:rFonts w:ascii="Times New Roman" w:hAnsi="Times New Roman"/>
                <w:sz w:val="24"/>
                <w:szCs w:val="24"/>
              </w:rPr>
              <w:t>. W zwi</w:t>
            </w:r>
            <w:r>
              <w:rPr>
                <w:rFonts w:ascii="Times New Roman" w:hAnsi="Times New Roman"/>
                <w:sz w:val="24"/>
                <w:szCs w:val="24"/>
              </w:rPr>
              <w:t>ązku</w:t>
            </w:r>
            <w:r w:rsidR="00A467B6">
              <w:rPr>
                <w:rFonts w:ascii="Times New Roman" w:hAnsi="Times New Roman"/>
                <w:sz w:val="24"/>
                <w:szCs w:val="24"/>
              </w:rPr>
              <w:t xml:space="preserve"> z tym</w:t>
            </w:r>
            <w:r>
              <w:rPr>
                <w:rFonts w:ascii="Times New Roman" w:hAnsi="Times New Roman"/>
                <w:sz w:val="24"/>
                <w:szCs w:val="24"/>
              </w:rPr>
              <w:t xml:space="preserve"> szacuje się, że łączne oszczędności</w:t>
            </w:r>
            <w:r w:rsidR="00A467B6">
              <w:rPr>
                <w:rFonts w:ascii="Times New Roman" w:hAnsi="Times New Roman"/>
                <w:sz w:val="24"/>
                <w:szCs w:val="24"/>
              </w:rPr>
              <w:t xml:space="preserve"> z tyt</w:t>
            </w:r>
            <w:r>
              <w:rPr>
                <w:rFonts w:ascii="Times New Roman" w:hAnsi="Times New Roman"/>
                <w:sz w:val="24"/>
                <w:szCs w:val="24"/>
              </w:rPr>
              <w:t>ułu odsetek</w:t>
            </w:r>
            <w:r w:rsidR="00A467B6">
              <w:rPr>
                <w:rFonts w:ascii="Times New Roman" w:hAnsi="Times New Roman"/>
                <w:sz w:val="24"/>
                <w:szCs w:val="24"/>
              </w:rPr>
              <w:t xml:space="preserve"> w cał</w:t>
            </w:r>
            <w:r>
              <w:rPr>
                <w:rFonts w:ascii="Times New Roman" w:hAnsi="Times New Roman"/>
                <w:sz w:val="24"/>
                <w:szCs w:val="24"/>
              </w:rPr>
              <w:t>ym okresie kredytowania wyniosą 5,8 mld EUR, czyli około 1</w:t>
            </w:r>
            <w:r w:rsidRPr="00A467B6">
              <w:rPr>
                <w:rFonts w:ascii="Times New Roman" w:hAnsi="Times New Roman"/>
                <w:sz w:val="24"/>
                <w:szCs w:val="24"/>
              </w:rPr>
              <w:t>1</w:t>
            </w:r>
            <w:r w:rsidR="00A467B6" w:rsidRPr="00A467B6">
              <w:rPr>
                <w:rFonts w:ascii="Times New Roman" w:hAnsi="Times New Roman"/>
                <w:sz w:val="24"/>
                <w:szCs w:val="24"/>
              </w:rPr>
              <w:t> </w:t>
            </w:r>
            <w:r w:rsidRPr="00A467B6">
              <w:rPr>
                <w:rFonts w:ascii="Times New Roman" w:hAnsi="Times New Roman"/>
                <w:sz w:val="24"/>
                <w:szCs w:val="24"/>
              </w:rPr>
              <w:t>%</w:t>
            </w:r>
            <w:r>
              <w:rPr>
                <w:rFonts w:ascii="Times New Roman" w:hAnsi="Times New Roman"/>
                <w:sz w:val="24"/>
                <w:szCs w:val="24"/>
              </w:rPr>
              <w:t xml:space="preserve"> wypłaconej kwoty,</w:t>
            </w:r>
            <w:r w:rsidR="00A467B6">
              <w:rPr>
                <w:rFonts w:ascii="Times New Roman" w:hAnsi="Times New Roman"/>
                <w:sz w:val="24"/>
                <w:szCs w:val="24"/>
              </w:rPr>
              <w:t xml:space="preserve"> w 1</w:t>
            </w:r>
            <w:r>
              <w:rPr>
                <w:rFonts w:ascii="Times New Roman" w:hAnsi="Times New Roman"/>
                <w:sz w:val="24"/>
                <w:szCs w:val="24"/>
              </w:rPr>
              <w:t>5 państwach członkowskich, które otrzymały wypłatę do dnia 2 lutego 20</w:t>
            </w:r>
            <w:r w:rsidRPr="00A467B6">
              <w:rPr>
                <w:rFonts w:ascii="Times New Roman" w:hAnsi="Times New Roman"/>
                <w:sz w:val="24"/>
                <w:szCs w:val="24"/>
              </w:rPr>
              <w:t>21</w:t>
            </w:r>
            <w:r w:rsidR="00A467B6" w:rsidRPr="00A467B6">
              <w:rPr>
                <w:rFonts w:ascii="Times New Roman" w:hAnsi="Times New Roman"/>
                <w:sz w:val="24"/>
                <w:szCs w:val="24"/>
              </w:rPr>
              <w:t> </w:t>
            </w:r>
            <w:r w:rsidRPr="00A467B6">
              <w:rPr>
                <w:rFonts w:ascii="Times New Roman" w:hAnsi="Times New Roman"/>
                <w:sz w:val="24"/>
                <w:szCs w:val="24"/>
              </w:rPr>
              <w:t>r.</w:t>
            </w:r>
            <w:r>
              <w:rPr>
                <w:rFonts w:ascii="Times New Roman" w:hAnsi="Times New Roman"/>
                <w:sz w:val="24"/>
                <w:szCs w:val="24"/>
              </w:rPr>
              <w:t xml:space="preserve"> (zob. tabela 6). Państwa członkowskie</w:t>
            </w:r>
            <w:r w:rsidR="00A467B6">
              <w:rPr>
                <w:rFonts w:ascii="Times New Roman" w:hAnsi="Times New Roman"/>
                <w:sz w:val="24"/>
                <w:szCs w:val="24"/>
              </w:rPr>
              <w:t xml:space="preserve"> o wyż</w:t>
            </w:r>
            <w:r>
              <w:rPr>
                <w:rFonts w:ascii="Times New Roman" w:hAnsi="Times New Roman"/>
                <w:sz w:val="24"/>
                <w:szCs w:val="24"/>
              </w:rPr>
              <w:t xml:space="preserve">szych spreadach albo większych wypłatach najbardziej skorzystały na korzystnych warunkach uzyskanych przez Komisję. </w:t>
            </w:r>
          </w:p>
        </w:tc>
      </w:tr>
    </w:tbl>
    <w:p w14:paraId="0ACEA0F0" w14:textId="77777777" w:rsidR="009D29AB" w:rsidRPr="000C43EC" w:rsidRDefault="009D29AB" w:rsidP="009D29AB">
      <w:pPr>
        <w:rPr>
          <w:rFonts w:ascii="Times New Roman" w:hAnsi="Times New Roman" w:cs="Times New Roman"/>
          <w:b/>
          <w:sz w:val="24"/>
          <w:szCs w:val="24"/>
        </w:rPr>
      </w:pPr>
    </w:p>
    <w:p w14:paraId="3400DCCC" w14:textId="45E308F1" w:rsidR="009D29AB" w:rsidRPr="009D29AB" w:rsidRDefault="009D29AB" w:rsidP="00D61F7B">
      <w:pPr>
        <w:spacing w:after="0"/>
        <w:rPr>
          <w:rFonts w:ascii="Times New Roman" w:hAnsi="Times New Roman" w:cs="Times New Roman"/>
          <w:b/>
          <w:sz w:val="24"/>
          <w:szCs w:val="24"/>
        </w:rPr>
      </w:pPr>
      <w:r>
        <w:rPr>
          <w:rFonts w:ascii="Times New Roman" w:hAnsi="Times New Roman"/>
          <w:b/>
          <w:sz w:val="24"/>
          <w:szCs w:val="24"/>
        </w:rPr>
        <w:t>Tabela 7: Oszczędności</w:t>
      </w:r>
      <w:r w:rsidR="00A467B6">
        <w:rPr>
          <w:rFonts w:ascii="Times New Roman" w:hAnsi="Times New Roman"/>
          <w:b/>
          <w:sz w:val="24"/>
          <w:szCs w:val="24"/>
        </w:rPr>
        <w:t xml:space="preserve"> z tyt</w:t>
      </w:r>
      <w:r>
        <w:rPr>
          <w:rFonts w:ascii="Times New Roman" w:hAnsi="Times New Roman"/>
          <w:b/>
          <w:sz w:val="24"/>
          <w:szCs w:val="24"/>
        </w:rPr>
        <w:t>ułu stopy procentowej</w:t>
      </w:r>
      <w:r w:rsidR="00A467B6">
        <w:rPr>
          <w:rFonts w:ascii="Times New Roman" w:hAnsi="Times New Roman"/>
          <w:b/>
          <w:sz w:val="24"/>
          <w:szCs w:val="24"/>
        </w:rPr>
        <w:t xml:space="preserve"> w pos</w:t>
      </w:r>
      <w:r>
        <w:rPr>
          <w:rFonts w:ascii="Times New Roman" w:hAnsi="Times New Roman"/>
          <w:b/>
          <w:sz w:val="24"/>
          <w:szCs w:val="24"/>
        </w:rPr>
        <w:t>zczególnych państwach członkowskich</w:t>
      </w:r>
    </w:p>
    <w:tbl>
      <w:tblPr>
        <w:tblW w:w="9364" w:type="dxa"/>
        <w:tblInd w:w="108" w:type="dxa"/>
        <w:tblLook w:val="04A0" w:firstRow="1" w:lastRow="0" w:firstColumn="1" w:lastColumn="0" w:noHBand="0" w:noVBand="1"/>
      </w:tblPr>
      <w:tblGrid>
        <w:gridCol w:w="1463"/>
        <w:gridCol w:w="1514"/>
        <w:gridCol w:w="1111"/>
        <w:gridCol w:w="1427"/>
        <w:gridCol w:w="2002"/>
        <w:gridCol w:w="1847"/>
      </w:tblGrid>
      <w:tr w:rsidR="009D29AB" w:rsidRPr="009D29AB" w14:paraId="605CBAD1" w14:textId="77777777" w:rsidTr="005E26A2">
        <w:trPr>
          <w:trHeight w:val="578"/>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4E23"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Państwo członkowskie</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057947E5" w14:textId="676396DB"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 xml:space="preserve">Wypłacona kwota </w:t>
            </w:r>
            <w:r w:rsidR="005E26A2">
              <w:rPr>
                <w:rFonts w:ascii="Times New Roman" w:hAnsi="Times New Roman"/>
                <w:b/>
                <w:bCs/>
              </w:rPr>
              <w:br/>
            </w:r>
            <w:r>
              <w:rPr>
                <w:rFonts w:ascii="Times New Roman" w:hAnsi="Times New Roman"/>
                <w:b/>
                <w:bCs/>
              </w:rPr>
              <w:t>(w mld EUR)</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18C7D1FE"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 xml:space="preserve">Średni spread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44CFC0C9"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Średni termin zapadalności</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14:paraId="7123ABBE" w14:textId="403EF4D2"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Oszczędności</w:t>
            </w:r>
            <w:r w:rsidR="00A467B6">
              <w:rPr>
                <w:rFonts w:ascii="Times New Roman" w:hAnsi="Times New Roman"/>
                <w:b/>
                <w:bCs/>
              </w:rPr>
              <w:t xml:space="preserve"> z tyt</w:t>
            </w:r>
            <w:r>
              <w:rPr>
                <w:rFonts w:ascii="Times New Roman" w:hAnsi="Times New Roman"/>
                <w:b/>
                <w:bCs/>
              </w:rPr>
              <w:t xml:space="preserve">ułu odsetek </w:t>
            </w:r>
            <w:r w:rsidR="005E26A2">
              <w:rPr>
                <w:rFonts w:ascii="Times New Roman" w:hAnsi="Times New Roman"/>
                <w:b/>
                <w:bCs/>
              </w:rPr>
              <w:br/>
            </w:r>
            <w:r>
              <w:rPr>
                <w:rFonts w:ascii="Times New Roman" w:hAnsi="Times New Roman"/>
                <w:b/>
                <w:bCs/>
              </w:rPr>
              <w:t>(w mld EUR)</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14:paraId="0080983B" w14:textId="28B84F46"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Oszczędności</w:t>
            </w:r>
            <w:r w:rsidR="00A467B6">
              <w:rPr>
                <w:rFonts w:ascii="Times New Roman" w:hAnsi="Times New Roman"/>
                <w:b/>
                <w:bCs/>
              </w:rPr>
              <w:t xml:space="preserve"> z tyt</w:t>
            </w:r>
            <w:r>
              <w:rPr>
                <w:rFonts w:ascii="Times New Roman" w:hAnsi="Times New Roman"/>
                <w:b/>
                <w:bCs/>
              </w:rPr>
              <w:t>ułu odsetek (% wypłaconej kwoty)</w:t>
            </w:r>
          </w:p>
        </w:tc>
      </w:tr>
      <w:tr w:rsidR="009D29AB" w:rsidRPr="009D29AB" w14:paraId="44FF6AB6"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6077C44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Belgia</w:t>
            </w:r>
          </w:p>
        </w:tc>
        <w:tc>
          <w:tcPr>
            <w:tcW w:w="1514" w:type="dxa"/>
            <w:tcBorders>
              <w:top w:val="nil"/>
              <w:left w:val="nil"/>
              <w:bottom w:val="single" w:sz="4" w:space="0" w:color="auto"/>
              <w:right w:val="single" w:sz="4" w:space="0" w:color="auto"/>
            </w:tcBorders>
            <w:shd w:val="clear" w:color="auto" w:fill="auto"/>
            <w:noWrap/>
            <w:vAlign w:val="bottom"/>
            <w:hideMark/>
          </w:tcPr>
          <w:p w14:paraId="6DB1FA1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4,0</w:t>
            </w:r>
          </w:p>
        </w:tc>
        <w:tc>
          <w:tcPr>
            <w:tcW w:w="1111" w:type="dxa"/>
            <w:tcBorders>
              <w:top w:val="nil"/>
              <w:left w:val="nil"/>
              <w:bottom w:val="single" w:sz="4" w:space="0" w:color="auto"/>
              <w:right w:val="single" w:sz="4" w:space="0" w:color="auto"/>
            </w:tcBorders>
            <w:shd w:val="clear" w:color="auto" w:fill="auto"/>
            <w:noWrap/>
            <w:vAlign w:val="bottom"/>
            <w:hideMark/>
          </w:tcPr>
          <w:p w14:paraId="5FD4087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0,11</w:t>
            </w:r>
          </w:p>
        </w:tc>
        <w:tc>
          <w:tcPr>
            <w:tcW w:w="1427" w:type="dxa"/>
            <w:tcBorders>
              <w:top w:val="nil"/>
              <w:left w:val="nil"/>
              <w:bottom w:val="single" w:sz="4" w:space="0" w:color="auto"/>
              <w:right w:val="single" w:sz="4" w:space="0" w:color="auto"/>
            </w:tcBorders>
            <w:shd w:val="clear" w:color="auto" w:fill="auto"/>
            <w:noWrap/>
            <w:vAlign w:val="bottom"/>
            <w:hideMark/>
          </w:tcPr>
          <w:p w14:paraId="64559B6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02" w:type="dxa"/>
            <w:tcBorders>
              <w:top w:val="nil"/>
              <w:left w:val="nil"/>
              <w:bottom w:val="single" w:sz="4" w:space="0" w:color="auto"/>
              <w:right w:val="single" w:sz="4" w:space="0" w:color="auto"/>
            </w:tcBorders>
            <w:shd w:val="clear" w:color="auto" w:fill="auto"/>
            <w:noWrap/>
            <w:vAlign w:val="bottom"/>
            <w:hideMark/>
          </w:tcPr>
          <w:p w14:paraId="433817B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0,098</w:t>
            </w:r>
          </w:p>
        </w:tc>
        <w:tc>
          <w:tcPr>
            <w:tcW w:w="1847" w:type="dxa"/>
            <w:tcBorders>
              <w:top w:val="nil"/>
              <w:left w:val="nil"/>
              <w:bottom w:val="single" w:sz="4" w:space="0" w:color="auto"/>
              <w:right w:val="single" w:sz="4" w:space="0" w:color="auto"/>
            </w:tcBorders>
            <w:shd w:val="clear" w:color="auto" w:fill="auto"/>
            <w:noWrap/>
            <w:vAlign w:val="bottom"/>
            <w:hideMark/>
          </w:tcPr>
          <w:p w14:paraId="59F271A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2,4</w:t>
            </w:r>
          </w:p>
        </w:tc>
      </w:tr>
      <w:tr w:rsidR="009D29AB" w:rsidRPr="009D29AB" w14:paraId="34796186"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15ADADCC"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Cypr</w:t>
            </w:r>
          </w:p>
        </w:tc>
        <w:tc>
          <w:tcPr>
            <w:tcW w:w="1514" w:type="dxa"/>
            <w:tcBorders>
              <w:top w:val="nil"/>
              <w:left w:val="nil"/>
              <w:bottom w:val="single" w:sz="4" w:space="0" w:color="auto"/>
              <w:right w:val="single" w:sz="4" w:space="0" w:color="auto"/>
            </w:tcBorders>
            <w:shd w:val="clear" w:color="auto" w:fill="auto"/>
            <w:noWrap/>
            <w:vAlign w:val="bottom"/>
            <w:hideMark/>
          </w:tcPr>
          <w:p w14:paraId="42F131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11" w:type="dxa"/>
            <w:tcBorders>
              <w:top w:val="nil"/>
              <w:left w:val="nil"/>
              <w:bottom w:val="single" w:sz="4" w:space="0" w:color="auto"/>
              <w:right w:val="single" w:sz="4" w:space="0" w:color="auto"/>
            </w:tcBorders>
            <w:shd w:val="clear" w:color="auto" w:fill="auto"/>
            <w:noWrap/>
            <w:vAlign w:val="bottom"/>
            <w:hideMark/>
          </w:tcPr>
          <w:p w14:paraId="39FAF1F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0,64</w:t>
            </w:r>
          </w:p>
        </w:tc>
        <w:tc>
          <w:tcPr>
            <w:tcW w:w="1427" w:type="dxa"/>
            <w:tcBorders>
              <w:top w:val="nil"/>
              <w:left w:val="nil"/>
              <w:bottom w:val="single" w:sz="4" w:space="0" w:color="auto"/>
              <w:right w:val="single" w:sz="4" w:space="0" w:color="auto"/>
            </w:tcBorders>
            <w:shd w:val="clear" w:color="auto" w:fill="auto"/>
            <w:noWrap/>
            <w:vAlign w:val="bottom"/>
            <w:hideMark/>
          </w:tcPr>
          <w:p w14:paraId="6B214D6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02" w:type="dxa"/>
            <w:tcBorders>
              <w:top w:val="nil"/>
              <w:left w:val="nil"/>
              <w:bottom w:val="single" w:sz="4" w:space="0" w:color="auto"/>
              <w:right w:val="single" w:sz="4" w:space="0" w:color="auto"/>
            </w:tcBorders>
            <w:shd w:val="clear" w:color="auto" w:fill="auto"/>
            <w:noWrap/>
            <w:vAlign w:val="bottom"/>
            <w:hideMark/>
          </w:tcPr>
          <w:p w14:paraId="77A4070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0,048</w:t>
            </w:r>
          </w:p>
        </w:tc>
        <w:tc>
          <w:tcPr>
            <w:tcW w:w="1847" w:type="dxa"/>
            <w:tcBorders>
              <w:top w:val="nil"/>
              <w:left w:val="nil"/>
              <w:bottom w:val="single" w:sz="4" w:space="0" w:color="auto"/>
              <w:right w:val="single" w:sz="4" w:space="0" w:color="auto"/>
            </w:tcBorders>
            <w:shd w:val="clear" w:color="auto" w:fill="auto"/>
            <w:noWrap/>
            <w:vAlign w:val="bottom"/>
            <w:hideMark/>
          </w:tcPr>
          <w:p w14:paraId="6AAE1C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10,1</w:t>
            </w:r>
          </w:p>
        </w:tc>
      </w:tr>
      <w:tr w:rsidR="009D29AB" w:rsidRPr="009D29AB" w14:paraId="00096281"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2F9F151E"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Grecja</w:t>
            </w:r>
          </w:p>
        </w:tc>
        <w:tc>
          <w:tcPr>
            <w:tcW w:w="1514" w:type="dxa"/>
            <w:tcBorders>
              <w:top w:val="nil"/>
              <w:left w:val="nil"/>
              <w:bottom w:val="single" w:sz="4" w:space="0" w:color="auto"/>
              <w:right w:val="single" w:sz="4" w:space="0" w:color="auto"/>
            </w:tcBorders>
            <w:shd w:val="clear" w:color="auto" w:fill="auto"/>
            <w:noWrap/>
            <w:vAlign w:val="bottom"/>
            <w:hideMark/>
          </w:tcPr>
          <w:p w14:paraId="04F9E5A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w:t>
            </w:r>
          </w:p>
        </w:tc>
        <w:tc>
          <w:tcPr>
            <w:tcW w:w="1111" w:type="dxa"/>
            <w:tcBorders>
              <w:top w:val="nil"/>
              <w:left w:val="nil"/>
              <w:bottom w:val="single" w:sz="4" w:space="0" w:color="auto"/>
              <w:right w:val="single" w:sz="4" w:space="0" w:color="auto"/>
            </w:tcBorders>
            <w:shd w:val="clear" w:color="auto" w:fill="auto"/>
            <w:noWrap/>
            <w:vAlign w:val="bottom"/>
            <w:hideMark/>
          </w:tcPr>
          <w:p w14:paraId="01EC3BF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0,74</w:t>
            </w:r>
          </w:p>
        </w:tc>
        <w:tc>
          <w:tcPr>
            <w:tcW w:w="1427" w:type="dxa"/>
            <w:tcBorders>
              <w:top w:val="nil"/>
              <w:left w:val="nil"/>
              <w:bottom w:val="single" w:sz="4" w:space="0" w:color="auto"/>
              <w:right w:val="single" w:sz="4" w:space="0" w:color="auto"/>
            </w:tcBorders>
            <w:shd w:val="clear" w:color="auto" w:fill="auto"/>
            <w:noWrap/>
            <w:vAlign w:val="bottom"/>
            <w:hideMark/>
          </w:tcPr>
          <w:p w14:paraId="5EC6509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02" w:type="dxa"/>
            <w:tcBorders>
              <w:top w:val="nil"/>
              <w:left w:val="nil"/>
              <w:bottom w:val="single" w:sz="4" w:space="0" w:color="auto"/>
              <w:right w:val="single" w:sz="4" w:space="0" w:color="auto"/>
            </w:tcBorders>
            <w:shd w:val="clear" w:color="auto" w:fill="auto"/>
            <w:noWrap/>
            <w:vAlign w:val="bottom"/>
            <w:hideMark/>
          </w:tcPr>
          <w:p w14:paraId="790DCDF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0,264</w:t>
            </w:r>
          </w:p>
        </w:tc>
        <w:tc>
          <w:tcPr>
            <w:tcW w:w="1847" w:type="dxa"/>
            <w:tcBorders>
              <w:top w:val="nil"/>
              <w:left w:val="nil"/>
              <w:bottom w:val="single" w:sz="4" w:space="0" w:color="auto"/>
              <w:right w:val="single" w:sz="4" w:space="0" w:color="auto"/>
            </w:tcBorders>
            <w:shd w:val="clear" w:color="auto" w:fill="auto"/>
            <w:noWrap/>
            <w:vAlign w:val="bottom"/>
            <w:hideMark/>
          </w:tcPr>
          <w:p w14:paraId="21A2DD1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56A6C8A1"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03148E7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Hiszpania</w:t>
            </w:r>
          </w:p>
        </w:tc>
        <w:tc>
          <w:tcPr>
            <w:tcW w:w="1514" w:type="dxa"/>
            <w:tcBorders>
              <w:top w:val="nil"/>
              <w:left w:val="nil"/>
              <w:bottom w:val="single" w:sz="4" w:space="0" w:color="auto"/>
              <w:right w:val="single" w:sz="4" w:space="0" w:color="auto"/>
            </w:tcBorders>
            <w:shd w:val="clear" w:color="auto" w:fill="auto"/>
            <w:noWrap/>
            <w:vAlign w:val="bottom"/>
            <w:hideMark/>
          </w:tcPr>
          <w:p w14:paraId="46AAF78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11,0</w:t>
            </w:r>
          </w:p>
        </w:tc>
        <w:tc>
          <w:tcPr>
            <w:tcW w:w="1111" w:type="dxa"/>
            <w:tcBorders>
              <w:top w:val="nil"/>
              <w:left w:val="nil"/>
              <w:bottom w:val="single" w:sz="4" w:space="0" w:color="auto"/>
              <w:right w:val="single" w:sz="4" w:space="0" w:color="auto"/>
            </w:tcBorders>
            <w:shd w:val="clear" w:color="auto" w:fill="auto"/>
            <w:noWrap/>
            <w:vAlign w:val="bottom"/>
            <w:hideMark/>
          </w:tcPr>
          <w:p w14:paraId="27E7AED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0,44</w:t>
            </w:r>
          </w:p>
        </w:tc>
        <w:tc>
          <w:tcPr>
            <w:tcW w:w="1427" w:type="dxa"/>
            <w:tcBorders>
              <w:top w:val="nil"/>
              <w:left w:val="nil"/>
              <w:bottom w:val="single" w:sz="4" w:space="0" w:color="auto"/>
              <w:right w:val="single" w:sz="4" w:space="0" w:color="auto"/>
            </w:tcBorders>
            <w:shd w:val="clear" w:color="auto" w:fill="auto"/>
            <w:noWrap/>
            <w:vAlign w:val="bottom"/>
            <w:hideMark/>
          </w:tcPr>
          <w:p w14:paraId="7E2A39F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02" w:type="dxa"/>
            <w:tcBorders>
              <w:top w:val="nil"/>
              <w:left w:val="nil"/>
              <w:bottom w:val="single" w:sz="4" w:space="0" w:color="auto"/>
              <w:right w:val="single" w:sz="4" w:space="0" w:color="auto"/>
            </w:tcBorders>
            <w:shd w:val="clear" w:color="auto" w:fill="auto"/>
            <w:noWrap/>
            <w:vAlign w:val="bottom"/>
            <w:hideMark/>
          </w:tcPr>
          <w:p w14:paraId="34FF12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0,850</w:t>
            </w:r>
          </w:p>
        </w:tc>
        <w:tc>
          <w:tcPr>
            <w:tcW w:w="1847" w:type="dxa"/>
            <w:tcBorders>
              <w:top w:val="nil"/>
              <w:left w:val="nil"/>
              <w:bottom w:val="single" w:sz="4" w:space="0" w:color="auto"/>
              <w:right w:val="single" w:sz="4" w:space="0" w:color="auto"/>
            </w:tcBorders>
            <w:shd w:val="clear" w:color="auto" w:fill="auto"/>
            <w:noWrap/>
            <w:vAlign w:val="bottom"/>
            <w:hideMark/>
          </w:tcPr>
          <w:p w14:paraId="38775FE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7,7</w:t>
            </w:r>
          </w:p>
        </w:tc>
      </w:tr>
      <w:tr w:rsidR="009D29AB" w:rsidRPr="009D29AB" w14:paraId="480DB7C3"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576BACAB"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Chorwacja</w:t>
            </w:r>
          </w:p>
        </w:tc>
        <w:tc>
          <w:tcPr>
            <w:tcW w:w="1514" w:type="dxa"/>
            <w:tcBorders>
              <w:top w:val="nil"/>
              <w:left w:val="nil"/>
              <w:bottom w:val="single" w:sz="4" w:space="0" w:color="auto"/>
              <w:right w:val="single" w:sz="4" w:space="0" w:color="auto"/>
            </w:tcBorders>
            <w:shd w:val="clear" w:color="auto" w:fill="auto"/>
            <w:noWrap/>
            <w:vAlign w:val="bottom"/>
            <w:hideMark/>
          </w:tcPr>
          <w:p w14:paraId="58CBF05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11" w:type="dxa"/>
            <w:tcBorders>
              <w:top w:val="nil"/>
              <w:left w:val="nil"/>
              <w:bottom w:val="single" w:sz="4" w:space="0" w:color="auto"/>
              <w:right w:val="single" w:sz="4" w:space="0" w:color="auto"/>
            </w:tcBorders>
            <w:shd w:val="clear" w:color="auto" w:fill="auto"/>
            <w:noWrap/>
            <w:vAlign w:val="bottom"/>
            <w:hideMark/>
          </w:tcPr>
          <w:p w14:paraId="22D019B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1,16</w:t>
            </w:r>
          </w:p>
        </w:tc>
        <w:tc>
          <w:tcPr>
            <w:tcW w:w="1427" w:type="dxa"/>
            <w:tcBorders>
              <w:top w:val="nil"/>
              <w:left w:val="nil"/>
              <w:bottom w:val="single" w:sz="4" w:space="0" w:color="auto"/>
              <w:right w:val="single" w:sz="4" w:space="0" w:color="auto"/>
            </w:tcBorders>
            <w:shd w:val="clear" w:color="auto" w:fill="auto"/>
            <w:noWrap/>
            <w:vAlign w:val="bottom"/>
            <w:hideMark/>
          </w:tcPr>
          <w:p w14:paraId="2478433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02" w:type="dxa"/>
            <w:tcBorders>
              <w:top w:val="nil"/>
              <w:left w:val="nil"/>
              <w:bottom w:val="single" w:sz="4" w:space="0" w:color="auto"/>
              <w:right w:val="single" w:sz="4" w:space="0" w:color="auto"/>
            </w:tcBorders>
            <w:shd w:val="clear" w:color="auto" w:fill="auto"/>
            <w:noWrap/>
            <w:vAlign w:val="bottom"/>
            <w:hideMark/>
          </w:tcPr>
          <w:p w14:paraId="34B7BA3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0,082</w:t>
            </w:r>
          </w:p>
        </w:tc>
        <w:tc>
          <w:tcPr>
            <w:tcW w:w="1847" w:type="dxa"/>
            <w:tcBorders>
              <w:top w:val="nil"/>
              <w:left w:val="nil"/>
              <w:bottom w:val="single" w:sz="4" w:space="0" w:color="auto"/>
              <w:right w:val="single" w:sz="4" w:space="0" w:color="auto"/>
            </w:tcBorders>
            <w:shd w:val="clear" w:color="auto" w:fill="auto"/>
            <w:noWrap/>
            <w:vAlign w:val="bottom"/>
            <w:hideMark/>
          </w:tcPr>
          <w:p w14:paraId="076EFDD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16,1</w:t>
            </w:r>
          </w:p>
        </w:tc>
      </w:tr>
      <w:tr w:rsidR="009D29AB" w:rsidRPr="009D29AB" w14:paraId="61C56738"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514FA1AF"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Węgry*</w:t>
            </w:r>
          </w:p>
        </w:tc>
        <w:tc>
          <w:tcPr>
            <w:tcW w:w="1514" w:type="dxa"/>
            <w:tcBorders>
              <w:top w:val="nil"/>
              <w:left w:val="nil"/>
              <w:bottom w:val="single" w:sz="4" w:space="0" w:color="auto"/>
              <w:right w:val="single" w:sz="4" w:space="0" w:color="auto"/>
            </w:tcBorders>
            <w:shd w:val="clear" w:color="auto" w:fill="auto"/>
            <w:noWrap/>
            <w:vAlign w:val="bottom"/>
            <w:hideMark/>
          </w:tcPr>
          <w:p w14:paraId="76FA9B5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w:t>
            </w:r>
          </w:p>
        </w:tc>
        <w:tc>
          <w:tcPr>
            <w:tcW w:w="1111" w:type="dxa"/>
            <w:tcBorders>
              <w:top w:val="nil"/>
              <w:left w:val="nil"/>
              <w:bottom w:val="single" w:sz="4" w:space="0" w:color="auto"/>
              <w:right w:val="single" w:sz="4" w:space="0" w:color="auto"/>
            </w:tcBorders>
            <w:shd w:val="clear" w:color="auto" w:fill="auto"/>
            <w:noWrap/>
            <w:vAlign w:val="bottom"/>
            <w:hideMark/>
          </w:tcPr>
          <w:p w14:paraId="0726B14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2,53</w:t>
            </w:r>
          </w:p>
        </w:tc>
        <w:tc>
          <w:tcPr>
            <w:tcW w:w="1427" w:type="dxa"/>
            <w:tcBorders>
              <w:top w:val="nil"/>
              <w:left w:val="nil"/>
              <w:bottom w:val="single" w:sz="4" w:space="0" w:color="auto"/>
              <w:right w:val="single" w:sz="4" w:space="0" w:color="auto"/>
            </w:tcBorders>
            <w:shd w:val="clear" w:color="auto" w:fill="auto"/>
            <w:noWrap/>
            <w:vAlign w:val="bottom"/>
            <w:hideMark/>
          </w:tcPr>
          <w:p w14:paraId="726C962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14,7</w:t>
            </w:r>
          </w:p>
        </w:tc>
        <w:tc>
          <w:tcPr>
            <w:tcW w:w="2002" w:type="dxa"/>
            <w:tcBorders>
              <w:top w:val="nil"/>
              <w:left w:val="nil"/>
              <w:bottom w:val="single" w:sz="4" w:space="0" w:color="auto"/>
              <w:right w:val="single" w:sz="4" w:space="0" w:color="auto"/>
            </w:tcBorders>
            <w:shd w:val="clear" w:color="auto" w:fill="auto"/>
            <w:noWrap/>
            <w:vAlign w:val="bottom"/>
            <w:hideMark/>
          </w:tcPr>
          <w:p w14:paraId="4AC89B46"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0,154</w:t>
            </w:r>
          </w:p>
        </w:tc>
        <w:tc>
          <w:tcPr>
            <w:tcW w:w="1847" w:type="dxa"/>
            <w:tcBorders>
              <w:top w:val="nil"/>
              <w:left w:val="nil"/>
              <w:bottom w:val="single" w:sz="4" w:space="0" w:color="auto"/>
              <w:right w:val="single" w:sz="4" w:space="0" w:color="auto"/>
            </w:tcBorders>
            <w:shd w:val="clear" w:color="auto" w:fill="auto"/>
            <w:noWrap/>
            <w:vAlign w:val="bottom"/>
            <w:hideMark/>
          </w:tcPr>
          <w:p w14:paraId="0CF9AF4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30,5</w:t>
            </w:r>
          </w:p>
        </w:tc>
      </w:tr>
      <w:tr w:rsidR="009D29AB" w:rsidRPr="009D29AB" w14:paraId="532B95C3"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6D15ACE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Włochy</w:t>
            </w:r>
          </w:p>
        </w:tc>
        <w:tc>
          <w:tcPr>
            <w:tcW w:w="1514" w:type="dxa"/>
            <w:tcBorders>
              <w:top w:val="nil"/>
              <w:left w:val="nil"/>
              <w:bottom w:val="single" w:sz="4" w:space="0" w:color="auto"/>
              <w:right w:val="single" w:sz="4" w:space="0" w:color="auto"/>
            </w:tcBorders>
            <w:shd w:val="clear" w:color="auto" w:fill="auto"/>
            <w:noWrap/>
            <w:vAlign w:val="bottom"/>
            <w:hideMark/>
          </w:tcPr>
          <w:p w14:paraId="7397FB4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21,0</w:t>
            </w:r>
          </w:p>
        </w:tc>
        <w:tc>
          <w:tcPr>
            <w:tcW w:w="1111" w:type="dxa"/>
            <w:tcBorders>
              <w:top w:val="nil"/>
              <w:left w:val="nil"/>
              <w:bottom w:val="single" w:sz="4" w:space="0" w:color="auto"/>
              <w:right w:val="single" w:sz="4" w:space="0" w:color="auto"/>
            </w:tcBorders>
            <w:shd w:val="clear" w:color="auto" w:fill="auto"/>
            <w:noWrap/>
            <w:vAlign w:val="bottom"/>
            <w:hideMark/>
          </w:tcPr>
          <w:p w14:paraId="288FC45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0,98</w:t>
            </w:r>
          </w:p>
        </w:tc>
        <w:tc>
          <w:tcPr>
            <w:tcW w:w="1427" w:type="dxa"/>
            <w:tcBorders>
              <w:top w:val="nil"/>
              <w:left w:val="nil"/>
              <w:bottom w:val="single" w:sz="4" w:space="0" w:color="auto"/>
              <w:right w:val="single" w:sz="4" w:space="0" w:color="auto"/>
            </w:tcBorders>
            <w:shd w:val="clear" w:color="auto" w:fill="auto"/>
            <w:noWrap/>
            <w:vAlign w:val="bottom"/>
            <w:hideMark/>
          </w:tcPr>
          <w:p w14:paraId="2E6AEBB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14,0</w:t>
            </w:r>
          </w:p>
        </w:tc>
        <w:tc>
          <w:tcPr>
            <w:tcW w:w="2002" w:type="dxa"/>
            <w:tcBorders>
              <w:top w:val="nil"/>
              <w:left w:val="nil"/>
              <w:bottom w:val="single" w:sz="4" w:space="0" w:color="auto"/>
              <w:right w:val="single" w:sz="4" w:space="0" w:color="auto"/>
            </w:tcBorders>
            <w:shd w:val="clear" w:color="auto" w:fill="auto"/>
            <w:noWrap/>
            <w:vAlign w:val="bottom"/>
            <w:hideMark/>
          </w:tcPr>
          <w:p w14:paraId="56E2476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2,835</w:t>
            </w:r>
          </w:p>
        </w:tc>
        <w:tc>
          <w:tcPr>
            <w:tcW w:w="1847" w:type="dxa"/>
            <w:tcBorders>
              <w:top w:val="nil"/>
              <w:left w:val="nil"/>
              <w:bottom w:val="single" w:sz="4" w:space="0" w:color="auto"/>
              <w:right w:val="single" w:sz="4" w:space="0" w:color="auto"/>
            </w:tcBorders>
            <w:shd w:val="clear" w:color="auto" w:fill="auto"/>
            <w:noWrap/>
            <w:vAlign w:val="bottom"/>
            <w:hideMark/>
          </w:tcPr>
          <w:p w14:paraId="41D994B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13,5</w:t>
            </w:r>
          </w:p>
        </w:tc>
      </w:tr>
      <w:tr w:rsidR="009D29AB" w:rsidRPr="009D29AB" w14:paraId="689B6607"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4A1D2CC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Litwa</w:t>
            </w:r>
          </w:p>
        </w:tc>
        <w:tc>
          <w:tcPr>
            <w:tcW w:w="1514" w:type="dxa"/>
            <w:tcBorders>
              <w:top w:val="nil"/>
              <w:left w:val="nil"/>
              <w:bottom w:val="single" w:sz="4" w:space="0" w:color="auto"/>
              <w:right w:val="single" w:sz="4" w:space="0" w:color="auto"/>
            </w:tcBorders>
            <w:shd w:val="clear" w:color="auto" w:fill="auto"/>
            <w:noWrap/>
            <w:vAlign w:val="bottom"/>
            <w:hideMark/>
          </w:tcPr>
          <w:p w14:paraId="5C4BF7C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11" w:type="dxa"/>
            <w:tcBorders>
              <w:top w:val="nil"/>
              <w:left w:val="nil"/>
              <w:bottom w:val="single" w:sz="4" w:space="0" w:color="auto"/>
              <w:right w:val="single" w:sz="4" w:space="0" w:color="auto"/>
            </w:tcBorders>
            <w:shd w:val="clear" w:color="auto" w:fill="auto"/>
            <w:noWrap/>
            <w:vAlign w:val="bottom"/>
            <w:hideMark/>
          </w:tcPr>
          <w:p w14:paraId="696D888C"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0,10</w:t>
            </w:r>
          </w:p>
        </w:tc>
        <w:tc>
          <w:tcPr>
            <w:tcW w:w="1427" w:type="dxa"/>
            <w:tcBorders>
              <w:top w:val="nil"/>
              <w:left w:val="nil"/>
              <w:bottom w:val="single" w:sz="4" w:space="0" w:color="auto"/>
              <w:right w:val="single" w:sz="4" w:space="0" w:color="auto"/>
            </w:tcBorders>
            <w:shd w:val="clear" w:color="auto" w:fill="auto"/>
            <w:noWrap/>
            <w:vAlign w:val="bottom"/>
            <w:hideMark/>
          </w:tcPr>
          <w:p w14:paraId="2A1C5B5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02" w:type="dxa"/>
            <w:tcBorders>
              <w:top w:val="nil"/>
              <w:left w:val="nil"/>
              <w:bottom w:val="single" w:sz="4" w:space="0" w:color="auto"/>
              <w:right w:val="single" w:sz="4" w:space="0" w:color="auto"/>
            </w:tcBorders>
            <w:shd w:val="clear" w:color="auto" w:fill="auto"/>
            <w:noWrap/>
            <w:vAlign w:val="bottom"/>
            <w:hideMark/>
          </w:tcPr>
          <w:p w14:paraId="1CE91BC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0,005</w:t>
            </w:r>
          </w:p>
        </w:tc>
        <w:tc>
          <w:tcPr>
            <w:tcW w:w="1847" w:type="dxa"/>
            <w:tcBorders>
              <w:top w:val="nil"/>
              <w:left w:val="nil"/>
              <w:bottom w:val="single" w:sz="4" w:space="0" w:color="auto"/>
              <w:right w:val="single" w:sz="4" w:space="0" w:color="auto"/>
            </w:tcBorders>
            <w:shd w:val="clear" w:color="auto" w:fill="auto"/>
            <w:noWrap/>
            <w:vAlign w:val="bottom"/>
            <w:hideMark/>
          </w:tcPr>
          <w:p w14:paraId="35DC89B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1,8</w:t>
            </w:r>
          </w:p>
        </w:tc>
      </w:tr>
      <w:tr w:rsidR="009D29AB" w:rsidRPr="009D29AB" w14:paraId="16C5ACFE"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2CA5F7C1"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Łotwa</w:t>
            </w:r>
          </w:p>
        </w:tc>
        <w:tc>
          <w:tcPr>
            <w:tcW w:w="1514" w:type="dxa"/>
            <w:tcBorders>
              <w:top w:val="nil"/>
              <w:left w:val="nil"/>
              <w:bottom w:val="single" w:sz="4" w:space="0" w:color="auto"/>
              <w:right w:val="single" w:sz="4" w:space="0" w:color="auto"/>
            </w:tcBorders>
            <w:shd w:val="clear" w:color="auto" w:fill="auto"/>
            <w:noWrap/>
            <w:vAlign w:val="bottom"/>
            <w:hideMark/>
          </w:tcPr>
          <w:p w14:paraId="761E7F7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w:t>
            </w:r>
          </w:p>
        </w:tc>
        <w:tc>
          <w:tcPr>
            <w:tcW w:w="1111" w:type="dxa"/>
            <w:tcBorders>
              <w:top w:val="nil"/>
              <w:left w:val="nil"/>
              <w:bottom w:val="single" w:sz="4" w:space="0" w:color="auto"/>
              <w:right w:val="single" w:sz="4" w:space="0" w:color="auto"/>
            </w:tcBorders>
            <w:shd w:val="clear" w:color="auto" w:fill="auto"/>
            <w:noWrap/>
            <w:vAlign w:val="bottom"/>
            <w:hideMark/>
          </w:tcPr>
          <w:p w14:paraId="0B0C64E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0,19</w:t>
            </w:r>
          </w:p>
        </w:tc>
        <w:tc>
          <w:tcPr>
            <w:tcW w:w="1427" w:type="dxa"/>
            <w:tcBorders>
              <w:top w:val="nil"/>
              <w:left w:val="nil"/>
              <w:bottom w:val="single" w:sz="4" w:space="0" w:color="auto"/>
              <w:right w:val="single" w:sz="4" w:space="0" w:color="auto"/>
            </w:tcBorders>
            <w:shd w:val="clear" w:color="auto" w:fill="auto"/>
            <w:noWrap/>
            <w:vAlign w:val="bottom"/>
            <w:hideMark/>
          </w:tcPr>
          <w:p w14:paraId="7587AAC9"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02" w:type="dxa"/>
            <w:tcBorders>
              <w:top w:val="nil"/>
              <w:left w:val="nil"/>
              <w:bottom w:val="single" w:sz="4" w:space="0" w:color="auto"/>
              <w:right w:val="single" w:sz="4" w:space="0" w:color="auto"/>
            </w:tcBorders>
            <w:shd w:val="clear" w:color="auto" w:fill="auto"/>
            <w:noWrap/>
            <w:vAlign w:val="bottom"/>
            <w:hideMark/>
          </w:tcPr>
          <w:p w14:paraId="70AFDC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0,006</w:t>
            </w:r>
          </w:p>
        </w:tc>
        <w:tc>
          <w:tcPr>
            <w:tcW w:w="1847" w:type="dxa"/>
            <w:tcBorders>
              <w:top w:val="nil"/>
              <w:left w:val="nil"/>
              <w:bottom w:val="single" w:sz="4" w:space="0" w:color="auto"/>
              <w:right w:val="single" w:sz="4" w:space="0" w:color="auto"/>
            </w:tcBorders>
            <w:shd w:val="clear" w:color="auto" w:fill="auto"/>
            <w:noWrap/>
            <w:vAlign w:val="bottom"/>
            <w:hideMark/>
          </w:tcPr>
          <w:p w14:paraId="2599C27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3,2</w:t>
            </w:r>
          </w:p>
        </w:tc>
      </w:tr>
      <w:tr w:rsidR="009D29AB" w:rsidRPr="009D29AB" w14:paraId="2AC0CAFC"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388A3F60"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Malta</w:t>
            </w:r>
          </w:p>
        </w:tc>
        <w:tc>
          <w:tcPr>
            <w:tcW w:w="1514" w:type="dxa"/>
            <w:tcBorders>
              <w:top w:val="nil"/>
              <w:left w:val="nil"/>
              <w:bottom w:val="single" w:sz="4" w:space="0" w:color="auto"/>
              <w:right w:val="single" w:sz="4" w:space="0" w:color="auto"/>
            </w:tcBorders>
            <w:shd w:val="clear" w:color="auto" w:fill="auto"/>
            <w:noWrap/>
            <w:vAlign w:val="bottom"/>
            <w:hideMark/>
          </w:tcPr>
          <w:p w14:paraId="2AAE1B1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0,1</w:t>
            </w:r>
          </w:p>
        </w:tc>
        <w:tc>
          <w:tcPr>
            <w:tcW w:w="1111" w:type="dxa"/>
            <w:tcBorders>
              <w:top w:val="nil"/>
              <w:left w:val="nil"/>
              <w:bottom w:val="single" w:sz="4" w:space="0" w:color="auto"/>
              <w:right w:val="single" w:sz="4" w:space="0" w:color="auto"/>
            </w:tcBorders>
            <w:shd w:val="clear" w:color="auto" w:fill="auto"/>
            <w:noWrap/>
            <w:vAlign w:val="bottom"/>
            <w:hideMark/>
          </w:tcPr>
          <w:p w14:paraId="7451492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0,63</w:t>
            </w:r>
          </w:p>
        </w:tc>
        <w:tc>
          <w:tcPr>
            <w:tcW w:w="1427" w:type="dxa"/>
            <w:tcBorders>
              <w:top w:val="nil"/>
              <w:left w:val="nil"/>
              <w:bottom w:val="single" w:sz="4" w:space="0" w:color="auto"/>
              <w:right w:val="single" w:sz="4" w:space="0" w:color="auto"/>
            </w:tcBorders>
            <w:shd w:val="clear" w:color="auto" w:fill="auto"/>
            <w:noWrap/>
            <w:vAlign w:val="bottom"/>
            <w:hideMark/>
          </w:tcPr>
          <w:p w14:paraId="6D70E95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13,3</w:t>
            </w:r>
          </w:p>
        </w:tc>
        <w:tc>
          <w:tcPr>
            <w:tcW w:w="2002" w:type="dxa"/>
            <w:tcBorders>
              <w:top w:val="nil"/>
              <w:left w:val="nil"/>
              <w:bottom w:val="single" w:sz="4" w:space="0" w:color="auto"/>
              <w:right w:val="single" w:sz="4" w:space="0" w:color="auto"/>
            </w:tcBorders>
            <w:shd w:val="clear" w:color="auto" w:fill="auto"/>
            <w:noWrap/>
            <w:vAlign w:val="bottom"/>
            <w:hideMark/>
          </w:tcPr>
          <w:p w14:paraId="1FB465A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0,012</w:t>
            </w:r>
          </w:p>
        </w:tc>
        <w:tc>
          <w:tcPr>
            <w:tcW w:w="1847" w:type="dxa"/>
            <w:tcBorders>
              <w:top w:val="nil"/>
              <w:left w:val="nil"/>
              <w:bottom w:val="single" w:sz="4" w:space="0" w:color="auto"/>
              <w:right w:val="single" w:sz="4" w:space="0" w:color="auto"/>
            </w:tcBorders>
            <w:shd w:val="clear" w:color="auto" w:fill="auto"/>
            <w:noWrap/>
            <w:vAlign w:val="bottom"/>
            <w:hideMark/>
          </w:tcPr>
          <w:p w14:paraId="66AD8B2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9,7</w:t>
            </w:r>
          </w:p>
        </w:tc>
      </w:tr>
      <w:tr w:rsidR="009D29AB" w:rsidRPr="009D29AB" w14:paraId="08A8ED8D"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413801A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Polska</w:t>
            </w:r>
          </w:p>
        </w:tc>
        <w:tc>
          <w:tcPr>
            <w:tcW w:w="1514" w:type="dxa"/>
            <w:tcBorders>
              <w:top w:val="nil"/>
              <w:left w:val="nil"/>
              <w:bottom w:val="single" w:sz="4" w:space="0" w:color="auto"/>
              <w:right w:val="single" w:sz="4" w:space="0" w:color="auto"/>
            </w:tcBorders>
            <w:shd w:val="clear" w:color="auto" w:fill="auto"/>
            <w:noWrap/>
            <w:vAlign w:val="bottom"/>
            <w:hideMark/>
          </w:tcPr>
          <w:p w14:paraId="1CA386C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5,3</w:t>
            </w:r>
          </w:p>
        </w:tc>
        <w:tc>
          <w:tcPr>
            <w:tcW w:w="1111" w:type="dxa"/>
            <w:tcBorders>
              <w:top w:val="nil"/>
              <w:left w:val="nil"/>
              <w:bottom w:val="single" w:sz="4" w:space="0" w:color="auto"/>
              <w:right w:val="single" w:sz="4" w:space="0" w:color="auto"/>
            </w:tcBorders>
            <w:shd w:val="clear" w:color="auto" w:fill="auto"/>
            <w:noWrap/>
            <w:vAlign w:val="bottom"/>
            <w:hideMark/>
          </w:tcPr>
          <w:p w14:paraId="4875915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0,41</w:t>
            </w:r>
          </w:p>
        </w:tc>
        <w:tc>
          <w:tcPr>
            <w:tcW w:w="1427" w:type="dxa"/>
            <w:tcBorders>
              <w:top w:val="nil"/>
              <w:left w:val="nil"/>
              <w:bottom w:val="single" w:sz="4" w:space="0" w:color="auto"/>
              <w:right w:val="single" w:sz="4" w:space="0" w:color="auto"/>
            </w:tcBorders>
            <w:shd w:val="clear" w:color="auto" w:fill="auto"/>
            <w:noWrap/>
            <w:vAlign w:val="bottom"/>
            <w:hideMark/>
          </w:tcPr>
          <w:p w14:paraId="6154F69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14,9</w:t>
            </w:r>
          </w:p>
        </w:tc>
        <w:tc>
          <w:tcPr>
            <w:tcW w:w="2002" w:type="dxa"/>
            <w:tcBorders>
              <w:top w:val="nil"/>
              <w:left w:val="nil"/>
              <w:bottom w:val="single" w:sz="4" w:space="0" w:color="auto"/>
              <w:right w:val="single" w:sz="4" w:space="0" w:color="auto"/>
            </w:tcBorders>
            <w:shd w:val="clear" w:color="auto" w:fill="auto"/>
            <w:noWrap/>
            <w:vAlign w:val="bottom"/>
            <w:hideMark/>
          </w:tcPr>
          <w:p w14:paraId="1385E09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0,355</w:t>
            </w:r>
          </w:p>
        </w:tc>
        <w:tc>
          <w:tcPr>
            <w:tcW w:w="1847" w:type="dxa"/>
            <w:tcBorders>
              <w:top w:val="nil"/>
              <w:left w:val="nil"/>
              <w:bottom w:val="single" w:sz="4" w:space="0" w:color="auto"/>
              <w:right w:val="single" w:sz="4" w:space="0" w:color="auto"/>
            </w:tcBorders>
            <w:shd w:val="clear" w:color="auto" w:fill="auto"/>
            <w:noWrap/>
            <w:vAlign w:val="bottom"/>
            <w:hideMark/>
          </w:tcPr>
          <w:p w14:paraId="1205EED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6,7</w:t>
            </w:r>
          </w:p>
        </w:tc>
      </w:tr>
      <w:tr w:rsidR="009D29AB" w:rsidRPr="009D29AB" w14:paraId="63BEF60F"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53ADF138"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Portugalia</w:t>
            </w:r>
          </w:p>
        </w:tc>
        <w:tc>
          <w:tcPr>
            <w:tcW w:w="1514" w:type="dxa"/>
            <w:tcBorders>
              <w:top w:val="nil"/>
              <w:left w:val="nil"/>
              <w:bottom w:val="single" w:sz="4" w:space="0" w:color="auto"/>
              <w:right w:val="single" w:sz="4" w:space="0" w:color="auto"/>
            </w:tcBorders>
            <w:shd w:val="clear" w:color="auto" w:fill="auto"/>
            <w:noWrap/>
            <w:vAlign w:val="bottom"/>
            <w:hideMark/>
          </w:tcPr>
          <w:p w14:paraId="530BD79F"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11" w:type="dxa"/>
            <w:tcBorders>
              <w:top w:val="nil"/>
              <w:left w:val="nil"/>
              <w:bottom w:val="single" w:sz="4" w:space="0" w:color="auto"/>
              <w:right w:val="single" w:sz="4" w:space="0" w:color="auto"/>
            </w:tcBorders>
            <w:shd w:val="clear" w:color="auto" w:fill="auto"/>
            <w:noWrap/>
            <w:vAlign w:val="bottom"/>
            <w:hideMark/>
          </w:tcPr>
          <w:p w14:paraId="085BC648"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0,57</w:t>
            </w:r>
          </w:p>
        </w:tc>
        <w:tc>
          <w:tcPr>
            <w:tcW w:w="1427" w:type="dxa"/>
            <w:tcBorders>
              <w:top w:val="nil"/>
              <w:left w:val="nil"/>
              <w:bottom w:val="single" w:sz="4" w:space="0" w:color="auto"/>
              <w:right w:val="single" w:sz="4" w:space="0" w:color="auto"/>
            </w:tcBorders>
            <w:shd w:val="clear" w:color="auto" w:fill="auto"/>
            <w:noWrap/>
            <w:vAlign w:val="bottom"/>
            <w:hideMark/>
          </w:tcPr>
          <w:p w14:paraId="43D271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02" w:type="dxa"/>
            <w:tcBorders>
              <w:top w:val="nil"/>
              <w:left w:val="nil"/>
              <w:bottom w:val="single" w:sz="4" w:space="0" w:color="auto"/>
              <w:right w:val="single" w:sz="4" w:space="0" w:color="auto"/>
            </w:tcBorders>
            <w:shd w:val="clear" w:color="auto" w:fill="auto"/>
            <w:noWrap/>
            <w:vAlign w:val="bottom"/>
            <w:hideMark/>
          </w:tcPr>
          <w:p w14:paraId="7B5DED2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0,242</w:t>
            </w:r>
          </w:p>
        </w:tc>
        <w:tc>
          <w:tcPr>
            <w:tcW w:w="1847" w:type="dxa"/>
            <w:tcBorders>
              <w:top w:val="nil"/>
              <w:left w:val="nil"/>
              <w:bottom w:val="single" w:sz="4" w:space="0" w:color="auto"/>
              <w:right w:val="single" w:sz="4" w:space="0" w:color="auto"/>
            </w:tcBorders>
            <w:shd w:val="clear" w:color="auto" w:fill="auto"/>
            <w:noWrap/>
            <w:vAlign w:val="bottom"/>
            <w:hideMark/>
          </w:tcPr>
          <w:p w14:paraId="5D60C052"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8,1</w:t>
            </w:r>
          </w:p>
        </w:tc>
      </w:tr>
      <w:tr w:rsidR="009D29AB" w:rsidRPr="009D29AB" w14:paraId="2B67B3B3"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2FF28959"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Rumunia</w:t>
            </w:r>
          </w:p>
        </w:tc>
        <w:tc>
          <w:tcPr>
            <w:tcW w:w="1514" w:type="dxa"/>
            <w:tcBorders>
              <w:top w:val="nil"/>
              <w:left w:val="nil"/>
              <w:bottom w:val="single" w:sz="4" w:space="0" w:color="auto"/>
              <w:right w:val="single" w:sz="4" w:space="0" w:color="auto"/>
            </w:tcBorders>
            <w:shd w:val="clear" w:color="auto" w:fill="auto"/>
            <w:noWrap/>
            <w:vAlign w:val="bottom"/>
            <w:hideMark/>
          </w:tcPr>
          <w:p w14:paraId="068BE46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3,0</w:t>
            </w:r>
          </w:p>
        </w:tc>
        <w:tc>
          <w:tcPr>
            <w:tcW w:w="1111" w:type="dxa"/>
            <w:tcBorders>
              <w:top w:val="nil"/>
              <w:left w:val="nil"/>
              <w:bottom w:val="single" w:sz="4" w:space="0" w:color="auto"/>
              <w:right w:val="single" w:sz="4" w:space="0" w:color="auto"/>
            </w:tcBorders>
            <w:shd w:val="clear" w:color="auto" w:fill="auto"/>
            <w:noWrap/>
            <w:vAlign w:val="bottom"/>
            <w:hideMark/>
          </w:tcPr>
          <w:p w14:paraId="3FC587A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2,19</w:t>
            </w:r>
          </w:p>
        </w:tc>
        <w:tc>
          <w:tcPr>
            <w:tcW w:w="1427" w:type="dxa"/>
            <w:tcBorders>
              <w:top w:val="nil"/>
              <w:left w:val="nil"/>
              <w:bottom w:val="single" w:sz="4" w:space="0" w:color="auto"/>
              <w:right w:val="single" w:sz="4" w:space="0" w:color="auto"/>
            </w:tcBorders>
            <w:shd w:val="clear" w:color="auto" w:fill="auto"/>
            <w:noWrap/>
            <w:vAlign w:val="bottom"/>
            <w:hideMark/>
          </w:tcPr>
          <w:p w14:paraId="17F0E0EA"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02" w:type="dxa"/>
            <w:tcBorders>
              <w:top w:val="nil"/>
              <w:left w:val="nil"/>
              <w:bottom w:val="single" w:sz="4" w:space="0" w:color="auto"/>
              <w:right w:val="single" w:sz="4" w:space="0" w:color="auto"/>
            </w:tcBorders>
            <w:shd w:val="clear" w:color="auto" w:fill="auto"/>
            <w:noWrap/>
            <w:vAlign w:val="bottom"/>
            <w:hideMark/>
          </w:tcPr>
          <w:p w14:paraId="0EF1380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0,824</w:t>
            </w:r>
          </w:p>
        </w:tc>
        <w:tc>
          <w:tcPr>
            <w:tcW w:w="1847" w:type="dxa"/>
            <w:tcBorders>
              <w:top w:val="nil"/>
              <w:left w:val="nil"/>
              <w:bottom w:val="single" w:sz="4" w:space="0" w:color="auto"/>
              <w:right w:val="single" w:sz="4" w:space="0" w:color="auto"/>
            </w:tcBorders>
            <w:shd w:val="clear" w:color="auto" w:fill="auto"/>
            <w:noWrap/>
            <w:vAlign w:val="bottom"/>
            <w:hideMark/>
          </w:tcPr>
          <w:p w14:paraId="56FFB8F7"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27,5</w:t>
            </w:r>
          </w:p>
        </w:tc>
      </w:tr>
      <w:tr w:rsidR="009D29AB" w:rsidRPr="009D29AB" w14:paraId="40F23D4E"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446596F2"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Słowenia</w:t>
            </w:r>
          </w:p>
        </w:tc>
        <w:tc>
          <w:tcPr>
            <w:tcW w:w="1514" w:type="dxa"/>
            <w:tcBorders>
              <w:top w:val="nil"/>
              <w:left w:val="nil"/>
              <w:bottom w:val="single" w:sz="4" w:space="0" w:color="auto"/>
              <w:right w:val="single" w:sz="4" w:space="0" w:color="auto"/>
            </w:tcBorders>
            <w:shd w:val="clear" w:color="auto" w:fill="auto"/>
            <w:noWrap/>
            <w:vAlign w:val="bottom"/>
            <w:hideMark/>
          </w:tcPr>
          <w:p w14:paraId="085C8F3E"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1,1</w:t>
            </w:r>
          </w:p>
        </w:tc>
        <w:tc>
          <w:tcPr>
            <w:tcW w:w="1111" w:type="dxa"/>
            <w:tcBorders>
              <w:top w:val="nil"/>
              <w:left w:val="nil"/>
              <w:bottom w:val="single" w:sz="4" w:space="0" w:color="auto"/>
              <w:right w:val="single" w:sz="4" w:space="0" w:color="auto"/>
            </w:tcBorders>
            <w:shd w:val="clear" w:color="auto" w:fill="auto"/>
            <w:noWrap/>
            <w:vAlign w:val="bottom"/>
            <w:hideMark/>
          </w:tcPr>
          <w:p w14:paraId="61F0026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0,23</w:t>
            </w:r>
          </w:p>
        </w:tc>
        <w:tc>
          <w:tcPr>
            <w:tcW w:w="1427" w:type="dxa"/>
            <w:tcBorders>
              <w:top w:val="nil"/>
              <w:left w:val="nil"/>
              <w:bottom w:val="single" w:sz="4" w:space="0" w:color="auto"/>
              <w:right w:val="single" w:sz="4" w:space="0" w:color="auto"/>
            </w:tcBorders>
            <w:shd w:val="clear" w:color="auto" w:fill="auto"/>
            <w:noWrap/>
            <w:vAlign w:val="bottom"/>
            <w:hideMark/>
          </w:tcPr>
          <w:p w14:paraId="4F9840AB"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14,8</w:t>
            </w:r>
          </w:p>
        </w:tc>
        <w:tc>
          <w:tcPr>
            <w:tcW w:w="2002" w:type="dxa"/>
            <w:tcBorders>
              <w:top w:val="nil"/>
              <w:left w:val="nil"/>
              <w:bottom w:val="single" w:sz="4" w:space="0" w:color="auto"/>
              <w:right w:val="single" w:sz="4" w:space="0" w:color="auto"/>
            </w:tcBorders>
            <w:shd w:val="clear" w:color="auto" w:fill="auto"/>
            <w:noWrap/>
            <w:vAlign w:val="bottom"/>
            <w:hideMark/>
          </w:tcPr>
          <w:p w14:paraId="1EF5BC83"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0,047</w:t>
            </w:r>
          </w:p>
        </w:tc>
        <w:tc>
          <w:tcPr>
            <w:tcW w:w="1847" w:type="dxa"/>
            <w:tcBorders>
              <w:top w:val="nil"/>
              <w:left w:val="nil"/>
              <w:bottom w:val="single" w:sz="4" w:space="0" w:color="auto"/>
              <w:right w:val="single" w:sz="4" w:space="0" w:color="auto"/>
            </w:tcBorders>
            <w:shd w:val="clear" w:color="auto" w:fill="auto"/>
            <w:noWrap/>
            <w:vAlign w:val="bottom"/>
            <w:hideMark/>
          </w:tcPr>
          <w:p w14:paraId="544D9FA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4,3</w:t>
            </w:r>
          </w:p>
        </w:tc>
      </w:tr>
      <w:tr w:rsidR="009D29AB" w:rsidRPr="009D29AB" w14:paraId="200DC3DA" w14:textId="77777777" w:rsidTr="005E26A2">
        <w:trPr>
          <w:trHeight w:val="287"/>
        </w:trPr>
        <w:tc>
          <w:tcPr>
            <w:tcW w:w="1463" w:type="dxa"/>
            <w:tcBorders>
              <w:top w:val="nil"/>
              <w:left w:val="single" w:sz="4" w:space="0" w:color="auto"/>
              <w:bottom w:val="single" w:sz="4" w:space="0" w:color="auto"/>
              <w:right w:val="single" w:sz="4" w:space="0" w:color="auto"/>
            </w:tcBorders>
            <w:shd w:val="clear" w:color="auto" w:fill="auto"/>
            <w:noWrap/>
            <w:vAlign w:val="bottom"/>
            <w:hideMark/>
          </w:tcPr>
          <w:p w14:paraId="2826B44D" w14:textId="77777777" w:rsidR="009D29AB" w:rsidRPr="009D29AB" w:rsidRDefault="009D29AB" w:rsidP="009D29AB">
            <w:pPr>
              <w:spacing w:after="0" w:line="240" w:lineRule="auto"/>
              <w:rPr>
                <w:rFonts w:ascii="Times New Roman" w:eastAsia="Times New Roman" w:hAnsi="Times New Roman" w:cs="Times New Roman"/>
              </w:rPr>
            </w:pPr>
            <w:r>
              <w:rPr>
                <w:rFonts w:ascii="Times New Roman" w:hAnsi="Times New Roman"/>
              </w:rPr>
              <w:t>Słowacja</w:t>
            </w:r>
          </w:p>
        </w:tc>
        <w:tc>
          <w:tcPr>
            <w:tcW w:w="1514" w:type="dxa"/>
            <w:tcBorders>
              <w:top w:val="nil"/>
              <w:left w:val="nil"/>
              <w:bottom w:val="single" w:sz="4" w:space="0" w:color="auto"/>
              <w:right w:val="single" w:sz="4" w:space="0" w:color="auto"/>
            </w:tcBorders>
            <w:shd w:val="clear" w:color="auto" w:fill="auto"/>
            <w:noWrap/>
            <w:vAlign w:val="bottom"/>
            <w:hideMark/>
          </w:tcPr>
          <w:p w14:paraId="6FDFB514"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0,3</w:t>
            </w:r>
          </w:p>
        </w:tc>
        <w:tc>
          <w:tcPr>
            <w:tcW w:w="1111" w:type="dxa"/>
            <w:tcBorders>
              <w:top w:val="nil"/>
              <w:left w:val="nil"/>
              <w:bottom w:val="single" w:sz="4" w:space="0" w:color="auto"/>
              <w:right w:val="single" w:sz="4" w:space="0" w:color="auto"/>
            </w:tcBorders>
            <w:shd w:val="clear" w:color="auto" w:fill="auto"/>
            <w:noWrap/>
            <w:vAlign w:val="bottom"/>
            <w:hideMark/>
          </w:tcPr>
          <w:p w14:paraId="7432A890"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0,09</w:t>
            </w:r>
          </w:p>
        </w:tc>
        <w:tc>
          <w:tcPr>
            <w:tcW w:w="1427" w:type="dxa"/>
            <w:tcBorders>
              <w:top w:val="nil"/>
              <w:left w:val="nil"/>
              <w:bottom w:val="single" w:sz="4" w:space="0" w:color="auto"/>
              <w:right w:val="single" w:sz="4" w:space="0" w:color="auto"/>
            </w:tcBorders>
            <w:shd w:val="clear" w:color="auto" w:fill="auto"/>
            <w:noWrap/>
            <w:vAlign w:val="bottom"/>
            <w:hideMark/>
          </w:tcPr>
          <w:p w14:paraId="56799685"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14,6</w:t>
            </w:r>
          </w:p>
        </w:tc>
        <w:tc>
          <w:tcPr>
            <w:tcW w:w="2002" w:type="dxa"/>
            <w:tcBorders>
              <w:top w:val="nil"/>
              <w:left w:val="nil"/>
              <w:bottom w:val="single" w:sz="4" w:space="0" w:color="auto"/>
              <w:right w:val="single" w:sz="4" w:space="0" w:color="auto"/>
            </w:tcBorders>
            <w:shd w:val="clear" w:color="auto" w:fill="auto"/>
            <w:noWrap/>
            <w:vAlign w:val="bottom"/>
            <w:hideMark/>
          </w:tcPr>
          <w:p w14:paraId="1190500D"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0,004</w:t>
            </w:r>
          </w:p>
        </w:tc>
        <w:tc>
          <w:tcPr>
            <w:tcW w:w="1847" w:type="dxa"/>
            <w:tcBorders>
              <w:top w:val="nil"/>
              <w:left w:val="nil"/>
              <w:bottom w:val="single" w:sz="4" w:space="0" w:color="auto"/>
              <w:right w:val="single" w:sz="4" w:space="0" w:color="auto"/>
            </w:tcBorders>
            <w:shd w:val="clear" w:color="auto" w:fill="auto"/>
            <w:noWrap/>
            <w:vAlign w:val="bottom"/>
            <w:hideMark/>
          </w:tcPr>
          <w:p w14:paraId="685BAD21" w14:textId="77777777" w:rsidR="009D29AB" w:rsidRPr="009D29AB" w:rsidRDefault="009D29AB" w:rsidP="009D29AB">
            <w:pPr>
              <w:spacing w:after="0" w:line="240" w:lineRule="auto"/>
              <w:jc w:val="center"/>
              <w:rPr>
                <w:rFonts w:ascii="Times New Roman" w:eastAsia="Times New Roman" w:hAnsi="Times New Roman" w:cs="Times New Roman"/>
              </w:rPr>
            </w:pPr>
            <w:r>
              <w:rPr>
                <w:rFonts w:ascii="Times New Roman" w:hAnsi="Times New Roman"/>
              </w:rPr>
              <w:t>1,3</w:t>
            </w:r>
          </w:p>
        </w:tc>
      </w:tr>
      <w:tr w:rsidR="009D29AB" w:rsidRPr="009D29AB" w14:paraId="7245C4F6" w14:textId="77777777" w:rsidTr="005E26A2">
        <w:trPr>
          <w:trHeight w:val="287"/>
        </w:trPr>
        <w:tc>
          <w:tcPr>
            <w:tcW w:w="1463"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14:paraId="4B1F3525" w14:textId="77777777" w:rsidR="009D29AB" w:rsidRPr="009D29AB" w:rsidRDefault="009D29AB" w:rsidP="009D29AB">
            <w:pPr>
              <w:spacing w:after="0" w:line="240" w:lineRule="auto"/>
              <w:rPr>
                <w:rFonts w:ascii="Times New Roman" w:eastAsia="Times New Roman" w:hAnsi="Times New Roman" w:cs="Times New Roman"/>
                <w:b/>
                <w:bCs/>
              </w:rPr>
            </w:pPr>
            <w:r>
              <w:rPr>
                <w:rFonts w:ascii="Times New Roman" w:hAnsi="Times New Roman"/>
                <w:b/>
                <w:bCs/>
              </w:rPr>
              <w:t>Ogółem</w:t>
            </w:r>
          </w:p>
        </w:tc>
        <w:tc>
          <w:tcPr>
            <w:tcW w:w="1514"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746BA11"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53,5</w:t>
            </w:r>
          </w:p>
        </w:tc>
        <w:tc>
          <w:tcPr>
            <w:tcW w:w="1111"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3F5CC7B0"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0,76</w:t>
            </w:r>
          </w:p>
        </w:tc>
        <w:tc>
          <w:tcPr>
            <w:tcW w:w="1427"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656576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14,5</w:t>
            </w:r>
          </w:p>
        </w:tc>
        <w:tc>
          <w:tcPr>
            <w:tcW w:w="2002"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81708A"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5,826</w:t>
            </w:r>
          </w:p>
        </w:tc>
        <w:tc>
          <w:tcPr>
            <w:tcW w:w="1847" w:type="dxa"/>
            <w:tcBorders>
              <w:top w:val="single" w:sz="4" w:space="0" w:color="auto"/>
              <w:left w:val="nil"/>
              <w:bottom w:val="single" w:sz="4" w:space="0" w:color="000000" w:themeColor="text1"/>
              <w:right w:val="single" w:sz="4" w:space="0" w:color="auto"/>
            </w:tcBorders>
            <w:shd w:val="clear" w:color="auto" w:fill="auto"/>
            <w:noWrap/>
            <w:vAlign w:val="bottom"/>
            <w:hideMark/>
          </w:tcPr>
          <w:p w14:paraId="00C720E6" w14:textId="77777777" w:rsidR="009D29AB" w:rsidRPr="009D29AB" w:rsidRDefault="009D29AB" w:rsidP="009D29AB">
            <w:pPr>
              <w:spacing w:after="0" w:line="240" w:lineRule="auto"/>
              <w:jc w:val="center"/>
              <w:rPr>
                <w:rFonts w:ascii="Times New Roman" w:eastAsia="Times New Roman" w:hAnsi="Times New Roman" w:cs="Times New Roman"/>
                <w:b/>
                <w:bCs/>
              </w:rPr>
            </w:pPr>
            <w:r>
              <w:rPr>
                <w:rFonts w:ascii="Times New Roman" w:hAnsi="Times New Roman"/>
                <w:b/>
                <w:bCs/>
              </w:rPr>
              <w:t>10,9</w:t>
            </w:r>
          </w:p>
        </w:tc>
      </w:tr>
    </w:tbl>
    <w:p w14:paraId="79A1F98D" w14:textId="14EE14A5" w:rsidR="009D29AB" w:rsidRPr="009D29AB" w:rsidRDefault="009D29AB" w:rsidP="009D29AB">
      <w:pPr>
        <w:spacing w:after="0"/>
        <w:jc w:val="both"/>
        <w:rPr>
          <w:rFonts w:ascii="Times New Roman" w:hAnsi="Times New Roman" w:cs="Times New Roman"/>
          <w:i/>
          <w:sz w:val="20"/>
        </w:rPr>
      </w:pPr>
      <w:r>
        <w:rPr>
          <w:rFonts w:ascii="Times New Roman" w:hAnsi="Times New Roman"/>
          <w:i/>
          <w:sz w:val="20"/>
        </w:rPr>
        <w:t>Uwaga: oszczędności</w:t>
      </w:r>
      <w:r w:rsidR="00A467B6">
        <w:rPr>
          <w:rFonts w:ascii="Times New Roman" w:hAnsi="Times New Roman"/>
          <w:i/>
          <w:sz w:val="20"/>
        </w:rPr>
        <w:t xml:space="preserve"> z tyt</w:t>
      </w:r>
      <w:r>
        <w:rPr>
          <w:rFonts w:ascii="Times New Roman" w:hAnsi="Times New Roman"/>
          <w:i/>
          <w:sz w:val="20"/>
        </w:rPr>
        <w:t>ułu odsetek oblicza się dla każdej obligacji</w:t>
      </w:r>
      <w:r w:rsidR="00A467B6">
        <w:rPr>
          <w:rFonts w:ascii="Times New Roman" w:hAnsi="Times New Roman"/>
          <w:i/>
          <w:sz w:val="20"/>
        </w:rPr>
        <w:t xml:space="preserve"> z oso</w:t>
      </w:r>
      <w:r>
        <w:rPr>
          <w:rFonts w:ascii="Times New Roman" w:hAnsi="Times New Roman"/>
          <w:i/>
          <w:sz w:val="20"/>
        </w:rPr>
        <w:t>bna</w:t>
      </w:r>
      <w:r w:rsidR="00A467B6">
        <w:rPr>
          <w:rFonts w:ascii="Times New Roman" w:hAnsi="Times New Roman"/>
          <w:i/>
          <w:sz w:val="20"/>
        </w:rPr>
        <w:t xml:space="preserve"> i sum</w:t>
      </w:r>
      <w:r>
        <w:rPr>
          <w:rFonts w:ascii="Times New Roman" w:hAnsi="Times New Roman"/>
          <w:i/>
          <w:sz w:val="20"/>
        </w:rPr>
        <w:t>uje dla wszystkich dat emisji</w:t>
      </w:r>
      <w:r w:rsidR="00A467B6">
        <w:rPr>
          <w:rFonts w:ascii="Times New Roman" w:hAnsi="Times New Roman"/>
          <w:i/>
          <w:sz w:val="20"/>
        </w:rPr>
        <w:t xml:space="preserve"> i ter</w:t>
      </w:r>
      <w:r>
        <w:rPr>
          <w:rFonts w:ascii="Times New Roman" w:hAnsi="Times New Roman"/>
          <w:i/>
          <w:sz w:val="20"/>
        </w:rPr>
        <w:t>minów zapadalności. Państwa członkowskie zaciągały pożyczki od UE</w:t>
      </w:r>
      <w:r w:rsidR="00A467B6">
        <w:rPr>
          <w:rFonts w:ascii="Times New Roman" w:hAnsi="Times New Roman"/>
          <w:i/>
          <w:sz w:val="20"/>
        </w:rPr>
        <w:t xml:space="preserve"> z róż</w:t>
      </w:r>
      <w:r>
        <w:rPr>
          <w:rFonts w:ascii="Times New Roman" w:hAnsi="Times New Roman"/>
          <w:i/>
          <w:sz w:val="20"/>
        </w:rPr>
        <w:t xml:space="preserve">nymi </w:t>
      </w:r>
      <w:r>
        <w:rPr>
          <w:rFonts w:ascii="Times New Roman" w:hAnsi="Times New Roman"/>
          <w:i/>
          <w:sz w:val="20"/>
          <w:szCs w:val="20"/>
        </w:rPr>
        <w:t xml:space="preserve">średnimi </w:t>
      </w:r>
      <w:r>
        <w:rPr>
          <w:rFonts w:ascii="Times New Roman" w:hAnsi="Times New Roman"/>
          <w:i/>
          <w:sz w:val="20"/>
        </w:rPr>
        <w:t>terminami zapadalności</w:t>
      </w:r>
      <w:r w:rsidR="00A467B6">
        <w:rPr>
          <w:rFonts w:ascii="Times New Roman" w:hAnsi="Times New Roman"/>
          <w:i/>
          <w:sz w:val="20"/>
        </w:rPr>
        <w:t>. W prz</w:t>
      </w:r>
      <w:r>
        <w:rPr>
          <w:rFonts w:ascii="Times New Roman" w:hAnsi="Times New Roman"/>
          <w:i/>
          <w:sz w:val="20"/>
        </w:rPr>
        <w:t xml:space="preserve">ypadku państw członkowskich, które </w:t>
      </w:r>
      <w:r>
        <w:rPr>
          <w:rFonts w:ascii="Times New Roman" w:hAnsi="Times New Roman"/>
          <w:i/>
          <w:sz w:val="20"/>
          <w:szCs w:val="20"/>
        </w:rPr>
        <w:t>zaciągnęły dużą część pożyczek</w:t>
      </w:r>
      <w:r w:rsidR="00A467B6">
        <w:rPr>
          <w:rFonts w:ascii="Times New Roman" w:hAnsi="Times New Roman"/>
          <w:i/>
          <w:sz w:val="20"/>
          <w:szCs w:val="20"/>
        </w:rPr>
        <w:t xml:space="preserve"> z bar</w:t>
      </w:r>
      <w:r>
        <w:rPr>
          <w:rFonts w:ascii="Times New Roman" w:hAnsi="Times New Roman"/>
          <w:i/>
          <w:sz w:val="20"/>
          <w:szCs w:val="20"/>
        </w:rPr>
        <w:t>dzo długim lub długim terminem zapadalności</w:t>
      </w:r>
      <w:r>
        <w:rPr>
          <w:rFonts w:ascii="Times New Roman" w:hAnsi="Times New Roman"/>
          <w:i/>
          <w:sz w:val="20"/>
        </w:rPr>
        <w:t>, łączne oszczędności</w:t>
      </w:r>
      <w:r w:rsidR="00A467B6">
        <w:rPr>
          <w:rFonts w:ascii="Times New Roman" w:hAnsi="Times New Roman"/>
          <w:i/>
          <w:sz w:val="20"/>
        </w:rPr>
        <w:t xml:space="preserve"> z tyt</w:t>
      </w:r>
      <w:r>
        <w:rPr>
          <w:rFonts w:ascii="Times New Roman" w:hAnsi="Times New Roman"/>
          <w:i/>
          <w:sz w:val="20"/>
        </w:rPr>
        <w:t>ułu odsetek są zazwyczaj wyższe niż iloczyn średniego spreadu</w:t>
      </w:r>
      <w:r w:rsidR="00A467B6">
        <w:rPr>
          <w:rFonts w:ascii="Times New Roman" w:hAnsi="Times New Roman"/>
          <w:i/>
          <w:sz w:val="20"/>
        </w:rPr>
        <w:t xml:space="preserve"> i śre</w:t>
      </w:r>
      <w:r>
        <w:rPr>
          <w:rFonts w:ascii="Times New Roman" w:hAnsi="Times New Roman"/>
          <w:i/>
          <w:sz w:val="20"/>
        </w:rPr>
        <w:t>dniego terminu zapadalności</w:t>
      </w:r>
      <w:r>
        <w:rPr>
          <w:rFonts w:ascii="Times New Roman" w:hAnsi="Times New Roman"/>
          <w:i/>
          <w:sz w:val="20"/>
          <w:szCs w:val="20"/>
        </w:rPr>
        <w:t>. Wynika to</w:t>
      </w:r>
      <w:r w:rsidR="00A467B6">
        <w:rPr>
          <w:rFonts w:ascii="Times New Roman" w:hAnsi="Times New Roman"/>
          <w:i/>
          <w:sz w:val="20"/>
          <w:szCs w:val="20"/>
        </w:rPr>
        <w:t xml:space="preserve"> z fak</w:t>
      </w:r>
      <w:r>
        <w:rPr>
          <w:rFonts w:ascii="Times New Roman" w:hAnsi="Times New Roman"/>
          <w:i/>
          <w:sz w:val="20"/>
          <w:szCs w:val="20"/>
        </w:rPr>
        <w:t>tu,</w:t>
      </w:r>
      <w:r>
        <w:rPr>
          <w:rFonts w:ascii="Times New Roman" w:hAnsi="Times New Roman"/>
          <w:i/>
          <w:sz w:val="20"/>
        </w:rPr>
        <w:t xml:space="preserve"> że spread</w:t>
      </w:r>
      <w:r w:rsidR="00A467B6">
        <w:rPr>
          <w:rFonts w:ascii="Times New Roman" w:hAnsi="Times New Roman"/>
          <w:i/>
          <w:sz w:val="20"/>
        </w:rPr>
        <w:t xml:space="preserve"> i ter</w:t>
      </w:r>
      <w:r>
        <w:rPr>
          <w:rFonts w:ascii="Times New Roman" w:hAnsi="Times New Roman"/>
          <w:i/>
          <w:sz w:val="20"/>
        </w:rPr>
        <w:t>min zapadalności są zasadniczo skorelowane dodatnio, tj. unijne krzywe rentowności</w:t>
      </w:r>
      <w:r w:rsidR="00A467B6">
        <w:rPr>
          <w:rFonts w:ascii="Times New Roman" w:hAnsi="Times New Roman"/>
          <w:i/>
          <w:sz w:val="20"/>
        </w:rPr>
        <w:t xml:space="preserve"> w ram</w:t>
      </w:r>
      <w:r>
        <w:rPr>
          <w:rFonts w:ascii="Times New Roman" w:hAnsi="Times New Roman"/>
          <w:i/>
          <w:sz w:val="20"/>
        </w:rPr>
        <w:t xml:space="preserve">ach SURE są zazwyczaj bardziej płaskie niż krajowe krzywe rentowności. </w:t>
      </w:r>
    </w:p>
    <w:p w14:paraId="55EF8231" w14:textId="14C91FAC" w:rsidR="009D29AB" w:rsidRPr="009D29AB" w:rsidRDefault="009D29AB" w:rsidP="009D29AB">
      <w:pPr>
        <w:spacing w:after="0"/>
        <w:rPr>
          <w:rFonts w:ascii="Times New Roman" w:hAnsi="Times New Roman" w:cs="Times New Roman"/>
          <w:i/>
          <w:sz w:val="20"/>
        </w:rPr>
      </w:pPr>
      <w:r>
        <w:rPr>
          <w:rFonts w:ascii="Times New Roman" w:hAnsi="Times New Roman"/>
          <w:i/>
          <w:sz w:val="20"/>
        </w:rPr>
        <w:t>* W przypadku Węgier nie jest dostępna krzywa rentowności obligacji denominowanych</w:t>
      </w:r>
      <w:r w:rsidR="00A467B6">
        <w:rPr>
          <w:rFonts w:ascii="Times New Roman" w:hAnsi="Times New Roman"/>
          <w:i/>
          <w:sz w:val="20"/>
        </w:rPr>
        <w:t xml:space="preserve"> w eur</w:t>
      </w:r>
      <w:r>
        <w:rPr>
          <w:rFonts w:ascii="Times New Roman" w:hAnsi="Times New Roman"/>
          <w:i/>
          <w:sz w:val="20"/>
        </w:rPr>
        <w:t>o. Zamiast tego wykorzystano krzywą rentowności obligacji</w:t>
      </w:r>
      <w:r w:rsidR="00A467B6">
        <w:rPr>
          <w:rFonts w:ascii="Times New Roman" w:hAnsi="Times New Roman"/>
          <w:i/>
          <w:sz w:val="20"/>
        </w:rPr>
        <w:t xml:space="preserve"> w wal</w:t>
      </w:r>
      <w:r>
        <w:rPr>
          <w:rFonts w:ascii="Times New Roman" w:hAnsi="Times New Roman"/>
          <w:i/>
          <w:sz w:val="20"/>
        </w:rPr>
        <w:t>ucie krajowej.</w:t>
      </w:r>
    </w:p>
    <w:p w14:paraId="60628843" w14:textId="77777777" w:rsidR="00D61F7B" w:rsidRDefault="00D61F7B">
      <w:pPr>
        <w:rPr>
          <w:rFonts w:ascii="Times New Roman" w:eastAsia="Times New Roman" w:hAnsi="Times New Roman" w:cs="Times New Roman"/>
          <w:b/>
          <w:smallCaps/>
          <w:sz w:val="24"/>
          <w:szCs w:val="20"/>
        </w:rPr>
      </w:pPr>
      <w:r>
        <w:br w:type="page"/>
      </w:r>
    </w:p>
    <w:p w14:paraId="3F1252D9" w14:textId="440F1CC5"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Dalsze występowanie zdarzeń nadzwyczajnych uzasadniających stosowanie rozporządzenia</w:t>
      </w:r>
      <w:r w:rsidR="00A467B6">
        <w:rPr>
          <w:rFonts w:ascii="Times New Roman" w:hAnsi="Times New Roman"/>
          <w:b/>
          <w:smallCaps/>
          <w:sz w:val="24"/>
          <w:szCs w:val="20"/>
        </w:rPr>
        <w:t xml:space="preserve"> w spr</w:t>
      </w:r>
      <w:r>
        <w:rPr>
          <w:rFonts w:ascii="Times New Roman" w:hAnsi="Times New Roman"/>
          <w:b/>
          <w:smallCaps/>
          <w:sz w:val="24"/>
          <w:szCs w:val="20"/>
        </w:rPr>
        <w:t>awie SURE</w:t>
      </w:r>
      <w:r>
        <w:rPr>
          <w:rFonts w:ascii="Times New Roman" w:hAnsi="Times New Roman"/>
          <w:b/>
          <w:color w:val="000000" w:themeColor="text1"/>
          <w:sz w:val="24"/>
          <w:szCs w:val="20"/>
        </w:rPr>
        <w:t xml:space="preserve"> </w:t>
      </w:r>
    </w:p>
    <w:p w14:paraId="3D0126E0" w14:textId="00164862"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W rozporządzeniu</w:t>
      </w:r>
      <w:r w:rsidR="00A467B6">
        <w:rPr>
          <w:rFonts w:ascii="Times New Roman" w:hAnsi="Times New Roman"/>
          <w:b/>
          <w:color w:val="000000" w:themeColor="text1"/>
          <w:sz w:val="24"/>
          <w:szCs w:val="24"/>
        </w:rPr>
        <w:t xml:space="preserve"> w spr</w:t>
      </w:r>
      <w:r>
        <w:rPr>
          <w:rFonts w:ascii="Times New Roman" w:hAnsi="Times New Roman"/>
          <w:b/>
          <w:color w:val="000000" w:themeColor="text1"/>
          <w:sz w:val="24"/>
          <w:szCs w:val="24"/>
        </w:rPr>
        <w:t>awie SURE nałożono również na Komisję obowiązek składania sprawozdań na temat dalszego występowania zdarzeń nadzwyczajnych uzasadniających stosowanie SURE.</w:t>
      </w:r>
      <w:r>
        <w:rPr>
          <w:rFonts w:ascii="Times New Roman" w:hAnsi="Times New Roman" w:cs="Times New Roman"/>
          <w:color w:val="000000" w:themeColor="text1"/>
          <w:sz w:val="24"/>
          <w:vertAlign w:val="superscript"/>
        </w:rPr>
        <w:footnoteReference w:id="41"/>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Wraz</w:t>
      </w:r>
      <w:r w:rsidR="00A467B6">
        <w:rPr>
          <w:rFonts w:ascii="Times New Roman" w:hAnsi="Times New Roman"/>
          <w:color w:val="000000" w:themeColor="text1"/>
          <w:sz w:val="24"/>
          <w:szCs w:val="24"/>
        </w:rPr>
        <w:t xml:space="preserve"> z pon</w:t>
      </w:r>
      <w:r>
        <w:rPr>
          <w:rFonts w:ascii="Times New Roman" w:hAnsi="Times New Roman"/>
          <w:color w:val="000000" w:themeColor="text1"/>
          <w:sz w:val="24"/>
          <w:szCs w:val="24"/>
        </w:rPr>
        <w:t>ownym wzrostem liczby zakażeń od jesieni nadal występują zdarzenia nadzwyczajne, które spowodowały konieczność wprowadzenia SURE</w:t>
      </w:r>
      <w:r w:rsidR="00A467B6">
        <w:rPr>
          <w:rFonts w:ascii="Times New Roman" w:hAnsi="Times New Roman"/>
          <w:color w:val="000000" w:themeColor="text1"/>
          <w:sz w:val="24"/>
          <w:szCs w:val="24"/>
        </w:rPr>
        <w:t xml:space="preserve"> i nad</w:t>
      </w:r>
      <w:r>
        <w:rPr>
          <w:rFonts w:ascii="Times New Roman" w:hAnsi="Times New Roman"/>
          <w:color w:val="000000" w:themeColor="text1"/>
          <w:sz w:val="24"/>
          <w:szCs w:val="24"/>
        </w:rPr>
        <w:t>zwyczajnych środków</w:t>
      </w:r>
      <w:r w:rsidR="00A467B6">
        <w:rPr>
          <w:rFonts w:ascii="Times New Roman" w:hAnsi="Times New Roman"/>
          <w:color w:val="000000" w:themeColor="text1"/>
          <w:sz w:val="24"/>
          <w:szCs w:val="24"/>
        </w:rPr>
        <w:t xml:space="preserve"> w dzi</w:t>
      </w:r>
      <w:r>
        <w:rPr>
          <w:rFonts w:ascii="Times New Roman" w:hAnsi="Times New Roman"/>
          <w:color w:val="000000" w:themeColor="text1"/>
          <w:sz w:val="24"/>
          <w:szCs w:val="24"/>
        </w:rPr>
        <w:t>edzinie zatrudnienia, aby wesprzeć obywateli. Od jesieni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sidR="00A467B6">
        <w:rPr>
          <w:rFonts w:ascii="Times New Roman" w:hAnsi="Times New Roman"/>
          <w:color w:val="000000" w:themeColor="text1"/>
          <w:sz w:val="24"/>
          <w:szCs w:val="24"/>
        </w:rPr>
        <w:t xml:space="preserve"> w Eur</w:t>
      </w:r>
      <w:r>
        <w:rPr>
          <w:rFonts w:ascii="Times New Roman" w:hAnsi="Times New Roman"/>
          <w:color w:val="000000" w:themeColor="text1"/>
          <w:sz w:val="24"/>
          <w:szCs w:val="24"/>
        </w:rPr>
        <w:t>opie nastąpił ponowny wzrost liczby zachorowań na COVID-19,</w:t>
      </w:r>
      <w:r w:rsidR="00A467B6">
        <w:rPr>
          <w:rFonts w:ascii="Times New Roman" w:hAnsi="Times New Roman"/>
          <w:color w:val="000000" w:themeColor="text1"/>
          <w:sz w:val="24"/>
          <w:szCs w:val="24"/>
        </w:rPr>
        <w:t xml:space="preserve"> w tym</w:t>
      </w:r>
      <w:r>
        <w:rPr>
          <w:rFonts w:ascii="Times New Roman" w:hAnsi="Times New Roman"/>
          <w:color w:val="000000" w:themeColor="text1"/>
          <w:sz w:val="24"/>
          <w:szCs w:val="24"/>
        </w:rPr>
        <w:t xml:space="preserve"> pojawiły się nowe, bardziej zjadliwe szczepy, co doprowadziło do znacznego zaostrzenia ograniczeń</w:t>
      </w:r>
      <w:r w:rsidR="00A467B6">
        <w:rPr>
          <w:rFonts w:ascii="Times New Roman" w:hAnsi="Times New Roman"/>
          <w:color w:val="000000" w:themeColor="text1"/>
          <w:sz w:val="24"/>
          <w:szCs w:val="24"/>
        </w:rPr>
        <w:t>. W dni</w:t>
      </w:r>
      <w:r>
        <w:rPr>
          <w:rFonts w:ascii="Times New Roman" w:hAnsi="Times New Roman"/>
          <w:color w:val="000000" w:themeColor="text1"/>
          <w:sz w:val="24"/>
          <w:szCs w:val="24"/>
        </w:rPr>
        <w:t xml:space="preserve">u </w:t>
      </w:r>
      <w:r>
        <w:rPr>
          <w:rFonts w:ascii="Times New Roman" w:hAnsi="Times New Roman"/>
          <w:color w:val="000000" w:themeColor="text1"/>
          <w:sz w:val="24"/>
        </w:rPr>
        <w:t xml:space="preserve">25 </w:t>
      </w:r>
      <w:r>
        <w:rPr>
          <w:rFonts w:ascii="Times New Roman" w:hAnsi="Times New Roman"/>
          <w:color w:val="000000" w:themeColor="text1"/>
          <w:sz w:val="24"/>
          <w:szCs w:val="24"/>
        </w:rPr>
        <w:t>lutego 20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14-dniowa zachorowalność na koronawirusa wynosiła 283 </w:t>
      </w:r>
      <w:r w:rsidRPr="00A467B6">
        <w:rPr>
          <w:rFonts w:ascii="Times New Roman" w:hAnsi="Times New Roman"/>
          <w:color w:val="000000" w:themeColor="text1"/>
          <w:sz w:val="24"/>
          <w:szCs w:val="24"/>
        </w:rPr>
        <w:t>na</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1</w:t>
      </w:r>
      <w:r>
        <w:rPr>
          <w:rFonts w:ascii="Times New Roman" w:hAnsi="Times New Roman"/>
          <w:color w:val="000000" w:themeColor="text1"/>
          <w:sz w:val="24"/>
          <w:szCs w:val="24"/>
        </w:rPr>
        <w:t>00 000 mieszkańców w UE/EOG, czyli mniej niż połowę poziomu odnotowanego</w:t>
      </w:r>
      <w:r w:rsidR="00A467B6">
        <w:rPr>
          <w:rFonts w:ascii="Times New Roman" w:hAnsi="Times New Roman"/>
          <w:color w:val="000000" w:themeColor="text1"/>
          <w:sz w:val="24"/>
          <w:szCs w:val="24"/>
        </w:rPr>
        <w:t xml:space="preserve"> w lis</w:t>
      </w:r>
      <w:r>
        <w:rPr>
          <w:rFonts w:ascii="Times New Roman" w:hAnsi="Times New Roman"/>
          <w:color w:val="000000" w:themeColor="text1"/>
          <w:sz w:val="24"/>
          <w:szCs w:val="24"/>
        </w:rPr>
        <w:t>topadzie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ale nadal znacznie powyżej zapadalności</w:t>
      </w:r>
      <w:r w:rsidR="00A467B6">
        <w:rPr>
          <w:rFonts w:ascii="Times New Roman" w:hAnsi="Times New Roman"/>
          <w:color w:val="000000" w:themeColor="text1"/>
          <w:sz w:val="24"/>
          <w:szCs w:val="24"/>
        </w:rPr>
        <w:t xml:space="preserve"> z lat</w:t>
      </w:r>
      <w:r>
        <w:rPr>
          <w:rFonts w:ascii="Times New Roman" w:hAnsi="Times New Roman"/>
          <w:color w:val="000000" w:themeColor="text1"/>
          <w:sz w:val="24"/>
          <w:szCs w:val="24"/>
        </w:rPr>
        <w:t>a ubiegłego roku, kiedy to po raz pierwszy złagodzono ograniczenia</w:t>
      </w:r>
      <w:r>
        <w:rPr>
          <w:rFonts w:ascii="Times New Roman" w:hAnsi="Times New Roman" w:cs="Times New Roman"/>
          <w:color w:val="000000" w:themeColor="text1"/>
          <w:sz w:val="24"/>
          <w:szCs w:val="24"/>
          <w:vertAlign w:val="superscript"/>
        </w:rPr>
        <w:footnoteReference w:id="42"/>
      </w:r>
      <w:r>
        <w:rPr>
          <w:rFonts w:ascii="Times New Roman" w:hAnsi="Times New Roman"/>
          <w:color w:val="000000" w:themeColor="text1"/>
          <w:sz w:val="24"/>
        </w:rPr>
        <w:t>.</w:t>
      </w:r>
      <w:r>
        <w:rPr>
          <w:rFonts w:ascii="Times New Roman" w:hAnsi="Times New Roman"/>
          <w:color w:val="000000" w:themeColor="text1"/>
          <w:sz w:val="24"/>
          <w:szCs w:val="24"/>
        </w:rPr>
        <w:t xml:space="preserve"> Na początku 20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sidR="00A467B6">
        <w:rPr>
          <w:rFonts w:ascii="Times New Roman" w:hAnsi="Times New Roman"/>
          <w:color w:val="000000" w:themeColor="text1"/>
          <w:sz w:val="24"/>
          <w:szCs w:val="24"/>
        </w:rPr>
        <w:t xml:space="preserve"> w wie</w:t>
      </w:r>
      <w:r>
        <w:rPr>
          <w:rFonts w:ascii="Times New Roman" w:hAnsi="Times New Roman"/>
          <w:color w:val="000000" w:themeColor="text1"/>
          <w:sz w:val="24"/>
          <w:szCs w:val="24"/>
        </w:rPr>
        <w:t>lu państwach członkowskich szpitale</w:t>
      </w:r>
      <w:r w:rsidR="00A467B6">
        <w:rPr>
          <w:rFonts w:ascii="Times New Roman" w:hAnsi="Times New Roman"/>
          <w:color w:val="000000" w:themeColor="text1"/>
          <w:sz w:val="24"/>
          <w:szCs w:val="24"/>
        </w:rPr>
        <w:t xml:space="preserve"> i odd</w:t>
      </w:r>
      <w:r>
        <w:rPr>
          <w:rFonts w:ascii="Times New Roman" w:hAnsi="Times New Roman"/>
          <w:color w:val="000000" w:themeColor="text1"/>
          <w:sz w:val="24"/>
          <w:szCs w:val="24"/>
        </w:rPr>
        <w:t xml:space="preserve">ziały intensywnej opieki medycznej osiągnęły maksymalne lub bliskie maksymalnego obłożenie. </w:t>
      </w:r>
    </w:p>
    <w:p w14:paraId="703D2342" w14:textId="03547DA4"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Ponowne zaostrzenie ograniczeń spowodowało zahamowanie ożywienia gospodarczego, po tym jak</w:t>
      </w:r>
      <w:r w:rsidR="00A467B6">
        <w:rPr>
          <w:rFonts w:ascii="Times New Roman" w:hAnsi="Times New Roman"/>
          <w:b/>
          <w:color w:val="000000" w:themeColor="text1"/>
          <w:sz w:val="24"/>
          <w:szCs w:val="24"/>
        </w:rPr>
        <w:t xml:space="preserve"> w trz</w:t>
      </w:r>
      <w:r>
        <w:rPr>
          <w:rFonts w:ascii="Times New Roman" w:hAnsi="Times New Roman"/>
          <w:b/>
          <w:color w:val="000000" w:themeColor="text1"/>
          <w:sz w:val="24"/>
          <w:szCs w:val="24"/>
        </w:rPr>
        <w:t>ecim kwartale 20</w:t>
      </w:r>
      <w:r w:rsidRPr="00A467B6">
        <w:rPr>
          <w:rFonts w:ascii="Times New Roman" w:hAnsi="Times New Roman"/>
          <w:b/>
          <w:color w:val="000000" w:themeColor="text1"/>
          <w:sz w:val="24"/>
          <w:szCs w:val="24"/>
        </w:rPr>
        <w:t>20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nastąpiło odbicie działalności gospodarczej.</w:t>
      </w:r>
      <w:r>
        <w:rPr>
          <w:rFonts w:ascii="Times New Roman" w:hAnsi="Times New Roman"/>
          <w:color w:val="000000" w:themeColor="text1"/>
          <w:sz w:val="24"/>
          <w:szCs w:val="24"/>
        </w:rPr>
        <w:t xml:space="preserve"> Chociaż wpływ na gospodarkę nie był tak poważny jak</w:t>
      </w:r>
      <w:r w:rsidR="00A467B6">
        <w:rPr>
          <w:rFonts w:ascii="Times New Roman" w:hAnsi="Times New Roman"/>
          <w:color w:val="000000" w:themeColor="text1"/>
          <w:sz w:val="24"/>
          <w:szCs w:val="24"/>
        </w:rPr>
        <w:t xml:space="preserve"> w prz</w:t>
      </w:r>
      <w:r>
        <w:rPr>
          <w:rFonts w:ascii="Times New Roman" w:hAnsi="Times New Roman"/>
          <w:color w:val="000000" w:themeColor="text1"/>
          <w:sz w:val="24"/>
          <w:szCs w:val="24"/>
        </w:rPr>
        <w:t>ypadku pierwszej fali pandemii ze względu na zastosowanie bardziej ukierunkowanych ograniczeń oraz dostosowanie się przedsiębiorstw</w:t>
      </w:r>
      <w:r w:rsidR="00A467B6">
        <w:rPr>
          <w:rFonts w:ascii="Times New Roman" w:hAnsi="Times New Roman"/>
          <w:color w:val="000000" w:themeColor="text1"/>
          <w:sz w:val="24"/>
          <w:szCs w:val="24"/>
        </w:rPr>
        <w:t xml:space="preserve"> i osó</w:t>
      </w:r>
      <w:r>
        <w:rPr>
          <w:rFonts w:ascii="Times New Roman" w:hAnsi="Times New Roman"/>
          <w:color w:val="000000" w:themeColor="text1"/>
          <w:sz w:val="24"/>
          <w:szCs w:val="24"/>
        </w:rPr>
        <w:t>b fizycznych do ograniczeń, nastąpiło jednak wstrzymanie odbudowy</w:t>
      </w:r>
      <w:r w:rsidR="00A467B6">
        <w:rPr>
          <w:rFonts w:ascii="Times New Roman" w:hAnsi="Times New Roman"/>
          <w:color w:val="000000" w:themeColor="text1"/>
          <w:sz w:val="24"/>
          <w:szCs w:val="24"/>
        </w:rPr>
        <w:t>. W czw</w:t>
      </w:r>
      <w:r>
        <w:rPr>
          <w:rFonts w:ascii="Times New Roman" w:hAnsi="Times New Roman"/>
          <w:color w:val="000000" w:themeColor="text1"/>
          <w:sz w:val="24"/>
          <w:szCs w:val="24"/>
        </w:rPr>
        <w:t>artym kwartale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realny PKB zmniejszył się w UE</w:t>
      </w:r>
      <w:r w:rsidR="00A467B6">
        <w:rPr>
          <w:rFonts w:ascii="Times New Roman" w:hAnsi="Times New Roman"/>
          <w:color w:val="000000" w:themeColor="text1"/>
          <w:sz w:val="24"/>
          <w:szCs w:val="24"/>
        </w:rPr>
        <w:t xml:space="preserve"> o 0</w:t>
      </w:r>
      <w:r>
        <w:rPr>
          <w:rFonts w:ascii="Times New Roman" w:hAnsi="Times New Roman"/>
          <w:color w:val="000000" w:themeColor="text1"/>
          <w:sz w:val="24"/>
          <w:szCs w:val="24"/>
        </w:rPr>
        <w:t>,</w:t>
      </w:r>
      <w:r w:rsidRPr="00A467B6">
        <w:rPr>
          <w:rFonts w:ascii="Times New Roman" w:hAnsi="Times New Roman"/>
          <w:color w:val="000000" w:themeColor="text1"/>
          <w:sz w:val="24"/>
          <w:szCs w:val="24"/>
        </w:rPr>
        <w:t>4</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sidR="00A467B6">
        <w:rPr>
          <w:rFonts w:ascii="Times New Roman" w:hAnsi="Times New Roman"/>
          <w:color w:val="000000" w:themeColor="text1"/>
          <w:sz w:val="24"/>
          <w:szCs w:val="24"/>
        </w:rPr>
        <w:t xml:space="preserve"> w uję</w:t>
      </w:r>
      <w:r>
        <w:rPr>
          <w:rFonts w:ascii="Times New Roman" w:hAnsi="Times New Roman"/>
          <w:color w:val="000000" w:themeColor="text1"/>
          <w:sz w:val="24"/>
          <w:szCs w:val="24"/>
        </w:rPr>
        <w:t>ciu kwartał do kwartału po wzroście</w:t>
      </w:r>
      <w:r w:rsidR="00A467B6">
        <w:rPr>
          <w:rFonts w:ascii="Times New Roman" w:hAnsi="Times New Roman"/>
          <w:color w:val="000000" w:themeColor="text1"/>
          <w:sz w:val="24"/>
          <w:szCs w:val="24"/>
        </w:rPr>
        <w:t xml:space="preserve"> o 1</w:t>
      </w:r>
      <w:r>
        <w:rPr>
          <w:rFonts w:ascii="Times New Roman" w:hAnsi="Times New Roman"/>
          <w:color w:val="000000" w:themeColor="text1"/>
          <w:sz w:val="24"/>
          <w:szCs w:val="24"/>
        </w:rPr>
        <w:t>1,</w:t>
      </w:r>
      <w:r w:rsidRPr="00A467B6">
        <w:rPr>
          <w:rFonts w:ascii="Times New Roman" w:hAnsi="Times New Roman"/>
          <w:color w:val="000000" w:themeColor="text1"/>
          <w:sz w:val="24"/>
          <w:szCs w:val="24"/>
        </w:rPr>
        <w:t>5</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sidR="00A467B6">
        <w:rPr>
          <w:rFonts w:ascii="Times New Roman" w:hAnsi="Times New Roman"/>
          <w:color w:val="000000" w:themeColor="text1"/>
          <w:sz w:val="24"/>
          <w:szCs w:val="24"/>
        </w:rPr>
        <w:t xml:space="preserve"> w trz</w:t>
      </w:r>
      <w:r>
        <w:rPr>
          <w:rFonts w:ascii="Times New Roman" w:hAnsi="Times New Roman"/>
          <w:color w:val="000000" w:themeColor="text1"/>
          <w:sz w:val="24"/>
          <w:szCs w:val="24"/>
        </w:rPr>
        <w:t>ecim kwartale</w:t>
      </w:r>
      <w:r w:rsidR="00A467B6">
        <w:rPr>
          <w:rFonts w:ascii="Times New Roman" w:hAnsi="Times New Roman"/>
          <w:color w:val="000000" w:themeColor="text1"/>
          <w:sz w:val="24"/>
          <w:szCs w:val="24"/>
        </w:rPr>
        <w:t>. W zwi</w:t>
      </w:r>
      <w:r>
        <w:rPr>
          <w:rFonts w:ascii="Times New Roman" w:hAnsi="Times New Roman"/>
          <w:color w:val="000000" w:themeColor="text1"/>
          <w:sz w:val="24"/>
          <w:szCs w:val="24"/>
        </w:rPr>
        <w:t>ązku</w:t>
      </w:r>
      <w:r w:rsidR="00A467B6">
        <w:rPr>
          <w:rFonts w:ascii="Times New Roman" w:hAnsi="Times New Roman"/>
          <w:color w:val="000000" w:themeColor="text1"/>
          <w:sz w:val="24"/>
          <w:szCs w:val="24"/>
        </w:rPr>
        <w:t xml:space="preserve"> z tym</w:t>
      </w:r>
      <w:r>
        <w:rPr>
          <w:rFonts w:ascii="Times New Roman" w:hAnsi="Times New Roman"/>
          <w:color w:val="000000" w:themeColor="text1"/>
          <w:sz w:val="24"/>
          <w:szCs w:val="24"/>
        </w:rPr>
        <w:t>, że</w:t>
      </w:r>
      <w:r w:rsidR="00A467B6">
        <w:rPr>
          <w:rFonts w:ascii="Times New Roman" w:hAnsi="Times New Roman"/>
          <w:color w:val="000000" w:themeColor="text1"/>
          <w:sz w:val="24"/>
          <w:szCs w:val="24"/>
        </w:rPr>
        <w:t xml:space="preserve"> w cał</w:t>
      </w:r>
      <w:r>
        <w:rPr>
          <w:rFonts w:ascii="Times New Roman" w:hAnsi="Times New Roman"/>
          <w:color w:val="000000" w:themeColor="text1"/>
          <w:sz w:val="24"/>
          <w:szCs w:val="24"/>
        </w:rPr>
        <w:t>ej Europie nadal obowiązują środki powstrzymujące rozprzestrzenianie się koronawirusa,</w:t>
      </w:r>
      <w:r w:rsidR="00A467B6">
        <w:rPr>
          <w:rFonts w:ascii="Times New Roman" w:hAnsi="Times New Roman"/>
          <w:color w:val="000000" w:themeColor="text1"/>
          <w:sz w:val="24"/>
          <w:szCs w:val="24"/>
        </w:rPr>
        <w:t xml:space="preserve"> w pie</w:t>
      </w:r>
      <w:r>
        <w:rPr>
          <w:rFonts w:ascii="Times New Roman" w:hAnsi="Times New Roman"/>
          <w:color w:val="000000" w:themeColor="text1"/>
          <w:sz w:val="24"/>
          <w:szCs w:val="24"/>
        </w:rPr>
        <w:t>rwszym kwartale 20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prognozuje się dalszy spadek</w:t>
      </w:r>
      <w:r w:rsidR="00A467B6">
        <w:rPr>
          <w:rFonts w:ascii="Times New Roman" w:hAnsi="Times New Roman"/>
          <w:color w:val="000000" w:themeColor="text1"/>
          <w:sz w:val="24"/>
          <w:szCs w:val="24"/>
        </w:rPr>
        <w:t>. W zim</w:t>
      </w:r>
      <w:r>
        <w:rPr>
          <w:rFonts w:ascii="Times New Roman" w:hAnsi="Times New Roman"/>
          <w:color w:val="000000" w:themeColor="text1"/>
          <w:sz w:val="24"/>
          <w:szCs w:val="24"/>
        </w:rPr>
        <w:t>owej prognozie, opublikowanej</w:t>
      </w:r>
      <w:r w:rsidR="00A467B6">
        <w:rPr>
          <w:rFonts w:ascii="Times New Roman" w:hAnsi="Times New Roman"/>
          <w:color w:val="000000" w:themeColor="text1"/>
          <w:sz w:val="24"/>
          <w:szCs w:val="24"/>
        </w:rPr>
        <w:t xml:space="preserve"> w dni</w:t>
      </w:r>
      <w:r>
        <w:rPr>
          <w:rFonts w:ascii="Times New Roman" w:hAnsi="Times New Roman"/>
          <w:color w:val="000000" w:themeColor="text1"/>
          <w:sz w:val="24"/>
          <w:szCs w:val="24"/>
        </w:rPr>
        <w:t>u 11 lutego 20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Komisja przewiduje, że</w:t>
      </w:r>
      <w:r w:rsidR="00A467B6">
        <w:rPr>
          <w:rFonts w:ascii="Times New Roman" w:hAnsi="Times New Roman"/>
          <w:color w:val="000000" w:themeColor="text1"/>
          <w:sz w:val="24"/>
          <w:szCs w:val="24"/>
        </w:rPr>
        <w:t xml:space="preserve"> w 2</w:t>
      </w:r>
      <w:r>
        <w:rPr>
          <w:rFonts w:ascii="Times New Roman" w:hAnsi="Times New Roman"/>
          <w:color w:val="000000" w:themeColor="text1"/>
          <w:sz w:val="24"/>
          <w:szCs w:val="24"/>
        </w:rPr>
        <w:t>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wzrost realnego PKB w UE wyniesie 3,</w:t>
      </w:r>
      <w:r w:rsidRPr="00A467B6">
        <w:rPr>
          <w:rFonts w:ascii="Times New Roman" w:hAnsi="Times New Roman"/>
          <w:color w:val="000000" w:themeColor="text1"/>
          <w:sz w:val="24"/>
          <w:szCs w:val="24"/>
        </w:rPr>
        <w:t>7</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Pr>
          <w:rFonts w:ascii="Times New Roman" w:hAnsi="Times New Roman"/>
          <w:color w:val="000000" w:themeColor="text1"/>
          <w:sz w:val="24"/>
          <w:szCs w:val="24"/>
        </w:rPr>
        <w:t xml:space="preserve"> po bezprecedensowym spadku</w:t>
      </w:r>
      <w:r w:rsidR="00A467B6">
        <w:rPr>
          <w:rFonts w:ascii="Times New Roman" w:hAnsi="Times New Roman"/>
          <w:color w:val="000000" w:themeColor="text1"/>
          <w:sz w:val="24"/>
          <w:szCs w:val="24"/>
        </w:rPr>
        <w:t xml:space="preserve"> o 6</w:t>
      </w:r>
      <w:r>
        <w:rPr>
          <w:rFonts w:ascii="Times New Roman" w:hAnsi="Times New Roman"/>
          <w:color w:val="000000" w:themeColor="text1"/>
          <w:sz w:val="24"/>
          <w:szCs w:val="24"/>
        </w:rPr>
        <w:t>,</w:t>
      </w:r>
      <w:r w:rsidRPr="00A467B6">
        <w:rPr>
          <w:rFonts w:ascii="Times New Roman" w:hAnsi="Times New Roman"/>
          <w:color w:val="000000" w:themeColor="text1"/>
          <w:sz w:val="24"/>
          <w:szCs w:val="24"/>
        </w:rPr>
        <w:t>3</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w:t>
      </w:r>
      <w:r w:rsidR="00A467B6">
        <w:rPr>
          <w:rFonts w:ascii="Times New Roman" w:hAnsi="Times New Roman"/>
          <w:color w:val="000000" w:themeColor="text1"/>
          <w:sz w:val="24"/>
          <w:szCs w:val="24"/>
        </w:rPr>
        <w:t xml:space="preserve"> w 2</w:t>
      </w:r>
      <w:r>
        <w:rPr>
          <w:rFonts w:ascii="Times New Roman" w:hAnsi="Times New Roman"/>
          <w:color w:val="000000" w:themeColor="text1"/>
          <w:sz w:val="24"/>
          <w:szCs w:val="24"/>
        </w:rPr>
        <w:t>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vertAlign w:val="superscript"/>
        </w:rPr>
        <w:t xml:space="preserve"> </w:t>
      </w:r>
      <w:r>
        <w:rPr>
          <w:rFonts w:ascii="Times New Roman" w:hAnsi="Times New Roman" w:cs="Times New Roman"/>
          <w:color w:val="000000" w:themeColor="text1"/>
          <w:sz w:val="24"/>
          <w:szCs w:val="24"/>
          <w:vertAlign w:val="superscript"/>
        </w:rPr>
        <w:footnoteReference w:id="43"/>
      </w:r>
      <w:r>
        <w:rPr>
          <w:rFonts w:ascii="Times New Roman" w:hAnsi="Times New Roman"/>
          <w:color w:val="000000" w:themeColor="text1"/>
          <w:sz w:val="24"/>
          <w:szCs w:val="24"/>
        </w:rPr>
        <w:t xml:space="preserve"> W związku</w:t>
      </w:r>
      <w:r w:rsidR="00A467B6">
        <w:rPr>
          <w:rFonts w:ascii="Times New Roman" w:hAnsi="Times New Roman"/>
          <w:color w:val="000000" w:themeColor="text1"/>
          <w:sz w:val="24"/>
          <w:szCs w:val="24"/>
        </w:rPr>
        <w:t xml:space="preserve"> z tym</w:t>
      </w:r>
      <w:r>
        <w:rPr>
          <w:rFonts w:ascii="Times New Roman" w:hAnsi="Times New Roman"/>
          <w:color w:val="000000" w:themeColor="text1"/>
          <w:sz w:val="24"/>
          <w:szCs w:val="24"/>
        </w:rPr>
        <w:t xml:space="preserve"> poziom PKB na koniec 20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pozostanie</w:t>
      </w:r>
      <w:r w:rsidR="00A467B6">
        <w:rPr>
          <w:rFonts w:ascii="Times New Roman" w:hAnsi="Times New Roman"/>
          <w:color w:val="000000" w:themeColor="text1"/>
          <w:sz w:val="24"/>
          <w:szCs w:val="24"/>
        </w:rPr>
        <w:t xml:space="preserve"> o 2</w:t>
      </w:r>
      <w:r>
        <w:rPr>
          <w:rFonts w:ascii="Times New Roman" w:hAnsi="Times New Roman"/>
          <w:color w:val="000000" w:themeColor="text1"/>
          <w:sz w:val="24"/>
          <w:szCs w:val="24"/>
        </w:rPr>
        <w:t>,8 punktu procentowego poniżej poziomu sprzed kryzysu, tj. poziomu</w:t>
      </w:r>
      <w:r w:rsidR="00A467B6">
        <w:rPr>
          <w:rFonts w:ascii="Times New Roman" w:hAnsi="Times New Roman"/>
          <w:color w:val="000000" w:themeColor="text1"/>
          <w:sz w:val="24"/>
          <w:szCs w:val="24"/>
        </w:rPr>
        <w:t xml:space="preserve"> z 2</w:t>
      </w:r>
      <w:r>
        <w:rPr>
          <w:rFonts w:ascii="Times New Roman" w:hAnsi="Times New Roman"/>
          <w:color w:val="000000" w:themeColor="text1"/>
          <w:sz w:val="24"/>
          <w:szCs w:val="24"/>
        </w:rPr>
        <w:t>0</w:t>
      </w:r>
      <w:r w:rsidRPr="00A467B6">
        <w:rPr>
          <w:rFonts w:ascii="Times New Roman" w:hAnsi="Times New Roman"/>
          <w:color w:val="000000" w:themeColor="text1"/>
          <w:sz w:val="24"/>
          <w:szCs w:val="24"/>
        </w:rPr>
        <w:t>19</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p>
    <w:p w14:paraId="747E8A8B" w14:textId="7C9BAB7C"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Silne ożywienie</w:t>
      </w:r>
      <w:r w:rsidR="00A467B6">
        <w:rPr>
          <w:rFonts w:ascii="Times New Roman" w:hAnsi="Times New Roman"/>
          <w:b/>
          <w:color w:val="000000" w:themeColor="text1"/>
          <w:sz w:val="24"/>
          <w:szCs w:val="24"/>
        </w:rPr>
        <w:t xml:space="preserve"> w prz</w:t>
      </w:r>
      <w:r>
        <w:rPr>
          <w:rFonts w:ascii="Times New Roman" w:hAnsi="Times New Roman"/>
          <w:b/>
          <w:color w:val="000000" w:themeColor="text1"/>
          <w:sz w:val="24"/>
          <w:szCs w:val="24"/>
        </w:rPr>
        <w:t>emyśle kontrastuje</w:t>
      </w:r>
      <w:r w:rsidR="00A467B6">
        <w:rPr>
          <w:rFonts w:ascii="Times New Roman" w:hAnsi="Times New Roman"/>
          <w:b/>
          <w:color w:val="000000" w:themeColor="text1"/>
          <w:sz w:val="24"/>
          <w:szCs w:val="24"/>
        </w:rPr>
        <w:t xml:space="preserve"> z nie</w:t>
      </w:r>
      <w:r>
        <w:rPr>
          <w:rFonts w:ascii="Times New Roman" w:hAnsi="Times New Roman"/>
          <w:b/>
          <w:color w:val="000000" w:themeColor="text1"/>
          <w:sz w:val="24"/>
          <w:szCs w:val="24"/>
        </w:rPr>
        <w:t>wielką aktywnością</w:t>
      </w:r>
      <w:r w:rsidR="00A467B6">
        <w:rPr>
          <w:rFonts w:ascii="Times New Roman" w:hAnsi="Times New Roman"/>
          <w:b/>
          <w:color w:val="000000" w:themeColor="text1"/>
          <w:sz w:val="24"/>
          <w:szCs w:val="24"/>
        </w:rPr>
        <w:t xml:space="preserve"> w sek</w:t>
      </w:r>
      <w:r>
        <w:rPr>
          <w:rFonts w:ascii="Times New Roman" w:hAnsi="Times New Roman"/>
          <w:b/>
          <w:color w:val="000000" w:themeColor="text1"/>
          <w:sz w:val="24"/>
          <w:szCs w:val="24"/>
        </w:rPr>
        <w:t>torze usług</w:t>
      </w:r>
      <w:r w:rsidR="00A467B6">
        <w:rPr>
          <w:rFonts w:ascii="Times New Roman" w:hAnsi="Times New Roman"/>
          <w:b/>
          <w:color w:val="000000" w:themeColor="text1"/>
          <w:sz w:val="24"/>
          <w:szCs w:val="24"/>
        </w:rPr>
        <w:t xml:space="preserve">. </w:t>
      </w:r>
      <w:r w:rsidR="00A467B6">
        <w:rPr>
          <w:rFonts w:ascii="Times New Roman" w:hAnsi="Times New Roman"/>
          <w:color w:val="000000" w:themeColor="text1"/>
          <w:sz w:val="24"/>
          <w:szCs w:val="24"/>
        </w:rPr>
        <w:t>W</w:t>
      </w:r>
      <w:r w:rsidR="00A467B6">
        <w:rPr>
          <w:rFonts w:ascii="Times New Roman" w:hAnsi="Times New Roman"/>
          <w:b/>
          <w:color w:val="000000" w:themeColor="text1"/>
          <w:sz w:val="24"/>
          <w:szCs w:val="24"/>
        </w:rPr>
        <w:t> </w:t>
      </w:r>
      <w:r w:rsidR="00A467B6">
        <w:rPr>
          <w:rFonts w:ascii="Times New Roman" w:hAnsi="Times New Roman"/>
          <w:color w:val="000000" w:themeColor="text1"/>
          <w:sz w:val="24"/>
          <w:szCs w:val="24"/>
        </w:rPr>
        <w:t>czw</w:t>
      </w:r>
      <w:r>
        <w:rPr>
          <w:rFonts w:ascii="Times New Roman" w:hAnsi="Times New Roman"/>
          <w:color w:val="000000" w:themeColor="text1"/>
          <w:sz w:val="24"/>
          <w:szCs w:val="24"/>
        </w:rPr>
        <w:t>artym kwartale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xml:space="preserve"> produkcja przemysłowa wciąż odnotowywała ożywienie w UE, niemal wracając do poziomów sprzed kryzysu. Natomiast po pełnym powrocie do wcześniejszych poziomów</w:t>
      </w:r>
      <w:r w:rsidR="00A467B6">
        <w:rPr>
          <w:rFonts w:ascii="Times New Roman" w:hAnsi="Times New Roman"/>
          <w:color w:val="000000" w:themeColor="text1"/>
          <w:sz w:val="24"/>
          <w:szCs w:val="24"/>
        </w:rPr>
        <w:t xml:space="preserve"> w lec</w:t>
      </w:r>
      <w:r>
        <w:rPr>
          <w:rFonts w:ascii="Times New Roman" w:hAnsi="Times New Roman"/>
          <w:color w:val="000000" w:themeColor="text1"/>
          <w:sz w:val="24"/>
          <w:szCs w:val="24"/>
        </w:rPr>
        <w:t>ie sprzedaż detaliczna ponownie osłabła jesienią</w:t>
      </w:r>
      <w:r w:rsidR="00A467B6">
        <w:rPr>
          <w:rFonts w:ascii="Times New Roman" w:hAnsi="Times New Roman"/>
          <w:color w:val="000000" w:themeColor="text1"/>
          <w:sz w:val="24"/>
          <w:szCs w:val="24"/>
        </w:rPr>
        <w:t xml:space="preserve"> w wyn</w:t>
      </w:r>
      <w:r>
        <w:rPr>
          <w:rFonts w:ascii="Times New Roman" w:hAnsi="Times New Roman"/>
          <w:color w:val="000000" w:themeColor="text1"/>
          <w:sz w:val="24"/>
          <w:szCs w:val="24"/>
        </w:rPr>
        <w:t>iku zaostrzenia ograniczeń</w:t>
      </w:r>
      <w:r w:rsidR="00A467B6">
        <w:rPr>
          <w:rFonts w:ascii="Times New Roman" w:hAnsi="Times New Roman"/>
          <w:color w:val="000000" w:themeColor="text1"/>
          <w:sz w:val="24"/>
          <w:szCs w:val="24"/>
        </w:rPr>
        <w:t xml:space="preserve"> w cał</w:t>
      </w:r>
      <w:r>
        <w:rPr>
          <w:rFonts w:ascii="Times New Roman" w:hAnsi="Times New Roman"/>
          <w:color w:val="000000" w:themeColor="text1"/>
          <w:sz w:val="24"/>
          <w:szCs w:val="24"/>
        </w:rPr>
        <w:t>ej UE, przy czym niektóre usługi, np. turystyka, nigdy nie otrząsnęły się</w:t>
      </w:r>
      <w:r w:rsidR="00A467B6">
        <w:rPr>
          <w:rFonts w:ascii="Times New Roman" w:hAnsi="Times New Roman"/>
          <w:color w:val="000000" w:themeColor="text1"/>
          <w:sz w:val="24"/>
          <w:szCs w:val="24"/>
        </w:rPr>
        <w:t xml:space="preserve"> z poc</w:t>
      </w:r>
      <w:r>
        <w:rPr>
          <w:rFonts w:ascii="Times New Roman" w:hAnsi="Times New Roman"/>
          <w:color w:val="000000" w:themeColor="text1"/>
          <w:sz w:val="24"/>
          <w:szCs w:val="24"/>
        </w:rPr>
        <w:t>zątkowego wstrząsu, którego doświadczyły</w:t>
      </w:r>
      <w:r w:rsidR="00A467B6">
        <w:rPr>
          <w:rFonts w:ascii="Times New Roman" w:hAnsi="Times New Roman"/>
          <w:color w:val="000000" w:themeColor="text1"/>
          <w:sz w:val="24"/>
          <w:szCs w:val="24"/>
        </w:rPr>
        <w:t xml:space="preserve"> w mar</w:t>
      </w:r>
      <w:r>
        <w:rPr>
          <w:rFonts w:ascii="Times New Roman" w:hAnsi="Times New Roman"/>
          <w:color w:val="000000" w:themeColor="text1"/>
          <w:sz w:val="24"/>
          <w:szCs w:val="24"/>
        </w:rPr>
        <w:t>cu 20</w:t>
      </w:r>
      <w:r w:rsidRPr="00A467B6">
        <w:rPr>
          <w:rFonts w:ascii="Times New Roman" w:hAnsi="Times New Roman"/>
          <w:color w:val="000000" w:themeColor="text1"/>
          <w:sz w:val="24"/>
          <w:szCs w:val="24"/>
        </w:rPr>
        <w:t>20</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p>
    <w:p w14:paraId="3595E22B" w14:textId="4A988E86"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Ostatnie ograniczenia ponownie wywarły silny wpływ na sektory zatrudniające wielu pracowników, takie jak sektory hotelarsko-gastronomiczny, rozrywkowy</w:t>
      </w:r>
      <w:r w:rsidR="00A467B6">
        <w:rPr>
          <w:rFonts w:ascii="Times New Roman" w:hAnsi="Times New Roman"/>
          <w:b/>
          <w:color w:val="000000" w:themeColor="text1"/>
          <w:sz w:val="24"/>
          <w:szCs w:val="24"/>
        </w:rPr>
        <w:t xml:space="preserve"> i tur</w:t>
      </w:r>
      <w:r>
        <w:rPr>
          <w:rFonts w:ascii="Times New Roman" w:hAnsi="Times New Roman"/>
          <w:b/>
          <w:color w:val="000000" w:themeColor="text1"/>
          <w:sz w:val="24"/>
          <w:szCs w:val="24"/>
        </w:rPr>
        <w:t xml:space="preserve">ystyczny. </w:t>
      </w:r>
      <w:r>
        <w:rPr>
          <w:rFonts w:ascii="Times New Roman" w:hAnsi="Times New Roman"/>
          <w:color w:val="000000" w:themeColor="text1"/>
          <w:sz w:val="24"/>
          <w:szCs w:val="24"/>
        </w:rPr>
        <w:t>Ograniczenia sanitarne nadal silnie oddziałują na te sektory. Niezaspokojone potrzeby</w:t>
      </w:r>
      <w:r w:rsidR="00A467B6">
        <w:rPr>
          <w:rFonts w:ascii="Times New Roman" w:hAnsi="Times New Roman"/>
          <w:color w:val="000000" w:themeColor="text1"/>
          <w:sz w:val="24"/>
          <w:szCs w:val="24"/>
        </w:rPr>
        <w:t xml:space="preserve"> w zak</w:t>
      </w:r>
      <w:r>
        <w:rPr>
          <w:rFonts w:ascii="Times New Roman" w:hAnsi="Times New Roman"/>
          <w:color w:val="000000" w:themeColor="text1"/>
          <w:sz w:val="24"/>
          <w:szCs w:val="24"/>
        </w:rPr>
        <w:t>resie zatrudnienia, tj. zastój na rynku pracy, wskazują na poważne skutki</w:t>
      </w:r>
      <w:r>
        <w:rPr>
          <w:rFonts w:ascii="Times New Roman" w:hAnsi="Times New Roman" w:cs="Times New Roman"/>
          <w:color w:val="000000" w:themeColor="text1"/>
          <w:sz w:val="24"/>
          <w:szCs w:val="24"/>
          <w:vertAlign w:val="superscript"/>
        </w:rPr>
        <w:footnoteReference w:id="44"/>
      </w:r>
      <w:r>
        <w:rPr>
          <w:rFonts w:ascii="Times New Roman" w:hAnsi="Times New Roman"/>
          <w:color w:val="000000" w:themeColor="text1"/>
          <w:sz w:val="24"/>
          <w:szCs w:val="24"/>
        </w:rPr>
        <w:t>. Ponadto prognozuje się, że stopa bezrobocia wzrośnie</w:t>
      </w:r>
      <w:r w:rsidR="00A467B6">
        <w:rPr>
          <w:rFonts w:ascii="Times New Roman" w:hAnsi="Times New Roman"/>
          <w:color w:val="000000" w:themeColor="text1"/>
          <w:sz w:val="24"/>
          <w:szCs w:val="24"/>
        </w:rPr>
        <w:t xml:space="preserve"> w 2</w:t>
      </w:r>
      <w:r>
        <w:rPr>
          <w:rFonts w:ascii="Times New Roman" w:hAnsi="Times New Roman"/>
          <w:color w:val="000000" w:themeColor="text1"/>
          <w:sz w:val="24"/>
          <w:szCs w:val="24"/>
        </w:rPr>
        <w:t>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ponieważ wycofywane są środki wspierające zatrudnienie</w:t>
      </w:r>
      <w:r w:rsidR="00A467B6">
        <w:rPr>
          <w:rFonts w:ascii="Times New Roman" w:hAnsi="Times New Roman"/>
          <w:color w:val="000000" w:themeColor="text1"/>
          <w:sz w:val="24"/>
          <w:szCs w:val="24"/>
        </w:rPr>
        <w:t xml:space="preserve"> i lud</w:t>
      </w:r>
      <w:r>
        <w:rPr>
          <w:rFonts w:ascii="Times New Roman" w:hAnsi="Times New Roman"/>
          <w:color w:val="000000" w:themeColor="text1"/>
          <w:sz w:val="24"/>
          <w:szCs w:val="24"/>
        </w:rPr>
        <w:t>zie mogą zacząć aktywnie szukać pracy</w:t>
      </w:r>
      <w:r w:rsidR="00A467B6">
        <w:rPr>
          <w:rFonts w:ascii="Times New Roman" w:hAnsi="Times New Roman"/>
          <w:color w:val="000000" w:themeColor="text1"/>
          <w:sz w:val="24"/>
          <w:szCs w:val="24"/>
        </w:rPr>
        <w:t xml:space="preserve"> w mia</w:t>
      </w:r>
      <w:r>
        <w:rPr>
          <w:rFonts w:ascii="Times New Roman" w:hAnsi="Times New Roman"/>
          <w:color w:val="000000" w:themeColor="text1"/>
          <w:sz w:val="24"/>
          <w:szCs w:val="24"/>
        </w:rPr>
        <w:t>rę ponownego otwierania się gospodarek</w:t>
      </w:r>
      <w:r>
        <w:rPr>
          <w:rFonts w:ascii="Times New Roman" w:hAnsi="Times New Roman" w:cs="Times New Roman"/>
          <w:color w:val="000000" w:themeColor="text1"/>
          <w:sz w:val="24"/>
          <w:szCs w:val="24"/>
          <w:vertAlign w:val="superscript"/>
        </w:rPr>
        <w:footnoteReference w:id="45"/>
      </w:r>
      <w:r>
        <w:rPr>
          <w:rFonts w:ascii="Times New Roman" w:hAnsi="Times New Roman"/>
          <w:color w:val="000000" w:themeColor="text1"/>
          <w:sz w:val="24"/>
          <w:szCs w:val="24"/>
        </w:rPr>
        <w:t xml:space="preserve">. </w:t>
      </w:r>
    </w:p>
    <w:p w14:paraId="52126635" w14:textId="2BB24EDA"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Mimo że oczekuje się umiarkowanego wzrostu aktywności gospodarczej</w:t>
      </w:r>
      <w:r w:rsidR="00A467B6">
        <w:rPr>
          <w:rFonts w:ascii="Times New Roman" w:hAnsi="Times New Roman"/>
          <w:b/>
          <w:color w:val="000000" w:themeColor="text1"/>
          <w:sz w:val="24"/>
          <w:szCs w:val="24"/>
        </w:rPr>
        <w:t xml:space="preserve"> w dru</w:t>
      </w:r>
      <w:r>
        <w:rPr>
          <w:rFonts w:ascii="Times New Roman" w:hAnsi="Times New Roman"/>
          <w:b/>
          <w:color w:val="000000" w:themeColor="text1"/>
          <w:sz w:val="24"/>
          <w:szCs w:val="24"/>
        </w:rPr>
        <w:t>gim kwartale</w:t>
      </w:r>
      <w:r w:rsidR="00A467B6">
        <w:rPr>
          <w:rFonts w:ascii="Times New Roman" w:hAnsi="Times New Roman"/>
          <w:b/>
          <w:color w:val="000000" w:themeColor="text1"/>
          <w:sz w:val="24"/>
          <w:szCs w:val="24"/>
        </w:rPr>
        <w:t xml:space="preserve"> i bar</w:t>
      </w:r>
      <w:r>
        <w:rPr>
          <w:rFonts w:ascii="Times New Roman" w:hAnsi="Times New Roman"/>
          <w:b/>
          <w:color w:val="000000" w:themeColor="text1"/>
          <w:sz w:val="24"/>
          <w:szCs w:val="24"/>
        </w:rPr>
        <w:t>dziej dynamicznego</w:t>
      </w:r>
      <w:r w:rsidR="00A467B6">
        <w:rPr>
          <w:rFonts w:ascii="Times New Roman" w:hAnsi="Times New Roman"/>
          <w:b/>
          <w:color w:val="000000" w:themeColor="text1"/>
          <w:sz w:val="24"/>
          <w:szCs w:val="24"/>
        </w:rPr>
        <w:t xml:space="preserve"> w trz</w:t>
      </w:r>
      <w:r>
        <w:rPr>
          <w:rFonts w:ascii="Times New Roman" w:hAnsi="Times New Roman"/>
          <w:b/>
          <w:color w:val="000000" w:themeColor="text1"/>
          <w:sz w:val="24"/>
          <w:szCs w:val="24"/>
        </w:rPr>
        <w:t>ecim, perspektywy gospodarcze nadal wiążą się ze znaczną niepewnością</w:t>
      </w:r>
      <w:r w:rsidR="00A467B6">
        <w:rPr>
          <w:rFonts w:ascii="Times New Roman" w:hAnsi="Times New Roman"/>
          <w:b/>
          <w:color w:val="000000" w:themeColor="text1"/>
          <w:sz w:val="24"/>
          <w:szCs w:val="24"/>
        </w:rPr>
        <w:t xml:space="preserve"> i wys</w:t>
      </w:r>
      <w:r>
        <w:rPr>
          <w:rFonts w:ascii="Times New Roman" w:hAnsi="Times New Roman"/>
          <w:b/>
          <w:color w:val="000000" w:themeColor="text1"/>
          <w:sz w:val="24"/>
          <w:szCs w:val="24"/>
        </w:rPr>
        <w:t>okim ryzykiem</w:t>
      </w:r>
      <w:r>
        <w:rPr>
          <w:rFonts w:ascii="Times New Roman" w:hAnsi="Times New Roman"/>
          <w:color w:val="000000" w:themeColor="text1"/>
          <w:sz w:val="24"/>
          <w:szCs w:val="24"/>
        </w:rPr>
        <w:t>. Ryzyko pozytywne dotyczy głównie możliwości, że proces szczepień doprowadzi do szybszego niż obecnie przewidywane złagodzenia środków powstrzymujących rozprzestrzenianie się wirusa,</w:t>
      </w:r>
      <w:r w:rsidR="00A467B6">
        <w:rPr>
          <w:rFonts w:ascii="Times New Roman" w:hAnsi="Times New Roman"/>
          <w:color w:val="000000" w:themeColor="text1"/>
          <w:sz w:val="24"/>
          <w:szCs w:val="24"/>
        </w:rPr>
        <w:t xml:space="preserve"> a tym</w:t>
      </w:r>
      <w:r>
        <w:rPr>
          <w:rFonts w:ascii="Times New Roman" w:hAnsi="Times New Roman"/>
          <w:color w:val="000000" w:themeColor="text1"/>
          <w:sz w:val="24"/>
          <w:szCs w:val="24"/>
        </w:rPr>
        <w:t xml:space="preserve"> samym do wcześniejszego</w:t>
      </w:r>
      <w:r w:rsidR="00A467B6">
        <w:rPr>
          <w:rFonts w:ascii="Times New Roman" w:hAnsi="Times New Roman"/>
          <w:color w:val="000000" w:themeColor="text1"/>
          <w:sz w:val="24"/>
          <w:szCs w:val="24"/>
        </w:rPr>
        <w:t xml:space="preserve"> i sil</w:t>
      </w:r>
      <w:r>
        <w:rPr>
          <w:rFonts w:ascii="Times New Roman" w:hAnsi="Times New Roman"/>
          <w:color w:val="000000" w:themeColor="text1"/>
          <w:sz w:val="24"/>
          <w:szCs w:val="24"/>
        </w:rPr>
        <w:t>niejszego ożywienia gospodarczego. Wzrost gospodarczy może również skorzystać na silnym, odroczonym popycie dzięki rekordowo wysokim oszczędnościom gospodarstw domowych, niskim kosztom finansowania</w:t>
      </w:r>
      <w:r w:rsidR="00A467B6">
        <w:rPr>
          <w:rFonts w:ascii="Times New Roman" w:hAnsi="Times New Roman"/>
          <w:color w:val="000000" w:themeColor="text1"/>
          <w:sz w:val="24"/>
          <w:szCs w:val="24"/>
        </w:rPr>
        <w:t xml:space="preserve"> i zap</w:t>
      </w:r>
      <w:r>
        <w:rPr>
          <w:rFonts w:ascii="Times New Roman" w:hAnsi="Times New Roman"/>
          <w:color w:val="000000" w:themeColor="text1"/>
          <w:sz w:val="24"/>
          <w:szCs w:val="24"/>
        </w:rPr>
        <w:t>ewniającej wsparcie polityce</w:t>
      </w:r>
      <w:r w:rsidR="00A467B6">
        <w:rPr>
          <w:rFonts w:ascii="Times New Roman" w:hAnsi="Times New Roman"/>
          <w:color w:val="000000" w:themeColor="text1"/>
          <w:sz w:val="24"/>
          <w:szCs w:val="24"/>
        </w:rPr>
        <w:t>. Z dru</w:t>
      </w:r>
      <w:r>
        <w:rPr>
          <w:rFonts w:ascii="Times New Roman" w:hAnsi="Times New Roman"/>
          <w:color w:val="000000" w:themeColor="text1"/>
          <w:sz w:val="24"/>
          <w:szCs w:val="24"/>
        </w:rPr>
        <w:t>giej strony nowe szczepy lub powolne tempo szczepień mogłyby opóźnić zniesienie środków powstrzymujących rozprzestrzenianie się wirusa, co miałoby negatywny wpływ na zaufanie</w:t>
      </w:r>
      <w:r w:rsidR="00A467B6">
        <w:rPr>
          <w:rFonts w:ascii="Times New Roman" w:hAnsi="Times New Roman"/>
          <w:color w:val="000000" w:themeColor="text1"/>
          <w:sz w:val="24"/>
          <w:szCs w:val="24"/>
        </w:rPr>
        <w:t xml:space="preserve"> i pro</w:t>
      </w:r>
      <w:r>
        <w:rPr>
          <w:rFonts w:ascii="Times New Roman" w:hAnsi="Times New Roman"/>
          <w:color w:val="000000" w:themeColor="text1"/>
          <w:sz w:val="24"/>
          <w:szCs w:val="24"/>
        </w:rPr>
        <w:t>wadziłoby do dalszych oszczędności zapobiegawczych</w:t>
      </w:r>
      <w:r w:rsidR="00A467B6">
        <w:rPr>
          <w:rFonts w:ascii="Times New Roman" w:hAnsi="Times New Roman"/>
          <w:color w:val="000000" w:themeColor="text1"/>
          <w:sz w:val="24"/>
          <w:szCs w:val="24"/>
        </w:rPr>
        <w:t xml:space="preserve"> i opó</w:t>
      </w:r>
      <w:r>
        <w:rPr>
          <w:rFonts w:ascii="Times New Roman" w:hAnsi="Times New Roman"/>
          <w:color w:val="000000" w:themeColor="text1"/>
          <w:sz w:val="24"/>
          <w:szCs w:val="24"/>
        </w:rPr>
        <w:t>źnienia decyzji inwestycyjnych. Podkreśla to potrzebę niewycofywania wsparcia dla gospodarki</w:t>
      </w:r>
      <w:r w:rsidR="00A467B6">
        <w:rPr>
          <w:rFonts w:ascii="Times New Roman" w:hAnsi="Times New Roman"/>
          <w:color w:val="000000" w:themeColor="text1"/>
          <w:sz w:val="24"/>
          <w:szCs w:val="24"/>
        </w:rPr>
        <w:t xml:space="preserve"> i zat</w:t>
      </w:r>
      <w:r>
        <w:rPr>
          <w:rFonts w:ascii="Times New Roman" w:hAnsi="Times New Roman"/>
          <w:color w:val="000000" w:themeColor="text1"/>
          <w:sz w:val="24"/>
          <w:szCs w:val="24"/>
        </w:rPr>
        <w:t>rudnienia za pomocą polityk, aby uniknąć większego osłabienia tkanki gospodarczej</w:t>
      </w:r>
      <w:r w:rsidR="00A467B6">
        <w:rPr>
          <w:rFonts w:ascii="Times New Roman" w:hAnsi="Times New Roman"/>
          <w:color w:val="000000" w:themeColor="text1"/>
          <w:sz w:val="24"/>
          <w:szCs w:val="24"/>
        </w:rPr>
        <w:t xml:space="preserve"> i spo</w:t>
      </w:r>
      <w:r>
        <w:rPr>
          <w:rFonts w:ascii="Times New Roman" w:hAnsi="Times New Roman"/>
          <w:color w:val="000000" w:themeColor="text1"/>
          <w:sz w:val="24"/>
          <w:szCs w:val="24"/>
        </w:rPr>
        <w:t>łecznej Europy</w:t>
      </w:r>
      <w:r>
        <w:rPr>
          <w:rFonts w:ascii="Times New Roman" w:hAnsi="Times New Roman" w:cs="Times New Roman"/>
          <w:color w:val="000000" w:themeColor="text1"/>
          <w:sz w:val="24"/>
          <w:szCs w:val="24"/>
          <w:vertAlign w:val="superscript"/>
          <w:lang w:val="en-US"/>
        </w:rPr>
        <w:footnoteReference w:id="46"/>
      </w:r>
      <w:r>
        <w:rPr>
          <w:rFonts w:ascii="Times New Roman" w:hAnsi="Times New Roman"/>
          <w:color w:val="000000" w:themeColor="text1"/>
          <w:sz w:val="24"/>
          <w:szCs w:val="24"/>
        </w:rPr>
        <w:t>. Odpowiednie środki</w:t>
      </w:r>
      <w:r w:rsidR="00A467B6">
        <w:rPr>
          <w:rFonts w:ascii="Times New Roman" w:hAnsi="Times New Roman"/>
          <w:color w:val="000000" w:themeColor="text1"/>
          <w:sz w:val="24"/>
          <w:szCs w:val="24"/>
        </w:rPr>
        <w:t xml:space="preserve"> z zak</w:t>
      </w:r>
      <w:r>
        <w:rPr>
          <w:rFonts w:ascii="Times New Roman" w:hAnsi="Times New Roman"/>
          <w:color w:val="000000" w:themeColor="text1"/>
          <w:sz w:val="24"/>
          <w:szCs w:val="24"/>
        </w:rPr>
        <w:t>resu polityki obejmują mechanizm zmniejszonego wymiaru czasu pracy kwalifikujące się do wsparcia</w:t>
      </w:r>
      <w:r w:rsidR="00A467B6">
        <w:rPr>
          <w:rFonts w:ascii="Times New Roman" w:hAnsi="Times New Roman"/>
          <w:color w:val="000000" w:themeColor="text1"/>
          <w:sz w:val="24"/>
          <w:szCs w:val="24"/>
        </w:rPr>
        <w:t xml:space="preserve"> w ram</w:t>
      </w:r>
      <w:r>
        <w:rPr>
          <w:rFonts w:ascii="Times New Roman" w:hAnsi="Times New Roman"/>
          <w:color w:val="000000" w:themeColor="text1"/>
          <w:sz w:val="24"/>
          <w:szCs w:val="24"/>
        </w:rPr>
        <w:t>ach SURE,</w:t>
      </w:r>
      <w:r w:rsidR="00A467B6">
        <w:rPr>
          <w:rFonts w:ascii="Times New Roman" w:hAnsi="Times New Roman"/>
          <w:color w:val="000000" w:themeColor="text1"/>
          <w:sz w:val="24"/>
          <w:szCs w:val="24"/>
        </w:rPr>
        <w:t xml:space="preserve"> a tak</w:t>
      </w:r>
      <w:r>
        <w:rPr>
          <w:rFonts w:ascii="Times New Roman" w:hAnsi="Times New Roman"/>
          <w:color w:val="000000" w:themeColor="text1"/>
          <w:sz w:val="24"/>
          <w:szCs w:val="24"/>
        </w:rPr>
        <w:t>że programy wspierające tworzenie miejsc pracy</w:t>
      </w:r>
      <w:r w:rsidR="00A467B6">
        <w:rPr>
          <w:rFonts w:ascii="Times New Roman" w:hAnsi="Times New Roman"/>
          <w:color w:val="000000" w:themeColor="text1"/>
          <w:sz w:val="24"/>
          <w:szCs w:val="24"/>
        </w:rPr>
        <w:t xml:space="preserve"> i prz</w:t>
      </w:r>
      <w:r>
        <w:rPr>
          <w:rFonts w:ascii="Times New Roman" w:hAnsi="Times New Roman"/>
          <w:color w:val="000000" w:themeColor="text1"/>
          <w:sz w:val="24"/>
          <w:szCs w:val="24"/>
        </w:rPr>
        <w:t>ekwalifikowanie zawodowe, zgodnie</w:t>
      </w:r>
      <w:r w:rsidR="00A467B6">
        <w:rPr>
          <w:rFonts w:ascii="Times New Roman" w:hAnsi="Times New Roman"/>
          <w:color w:val="000000" w:themeColor="text1"/>
          <w:sz w:val="24"/>
          <w:szCs w:val="24"/>
        </w:rPr>
        <w:t xml:space="preserve"> z zal</w:t>
      </w:r>
      <w:r>
        <w:rPr>
          <w:rFonts w:ascii="Times New Roman" w:hAnsi="Times New Roman"/>
          <w:color w:val="000000" w:themeColor="text1"/>
          <w:sz w:val="24"/>
          <w:szCs w:val="24"/>
        </w:rPr>
        <w:t>eceniem Komisji</w:t>
      </w:r>
      <w:r w:rsidR="00A467B6">
        <w:rPr>
          <w:rFonts w:ascii="Times New Roman" w:hAnsi="Times New Roman"/>
          <w:color w:val="000000" w:themeColor="text1"/>
          <w:sz w:val="24"/>
          <w:szCs w:val="24"/>
        </w:rPr>
        <w:t xml:space="preserve"> w spr</w:t>
      </w:r>
      <w:r>
        <w:rPr>
          <w:rFonts w:ascii="Times New Roman" w:hAnsi="Times New Roman"/>
          <w:color w:val="000000" w:themeColor="text1"/>
          <w:sz w:val="24"/>
          <w:szCs w:val="24"/>
        </w:rPr>
        <w:t>awie skutecznego aktywnego wspierania zatrudnienia</w:t>
      </w:r>
      <w:r>
        <w:rPr>
          <w:rStyle w:val="FootnoteReference"/>
          <w:rFonts w:ascii="Times New Roman" w:hAnsi="Times New Roman" w:cs="Times New Roman"/>
          <w:color w:val="000000" w:themeColor="text1"/>
          <w:sz w:val="24"/>
          <w:szCs w:val="24"/>
          <w:lang w:val="en-US"/>
        </w:rPr>
        <w:footnoteReference w:id="47"/>
      </w:r>
      <w:r>
        <w:rPr>
          <w:rFonts w:ascii="Times New Roman" w:hAnsi="Times New Roman"/>
          <w:color w:val="000000" w:themeColor="text1"/>
          <w:sz w:val="24"/>
          <w:szCs w:val="24"/>
        </w:rPr>
        <w:t>.</w:t>
      </w:r>
    </w:p>
    <w:p w14:paraId="26E7F03F" w14:textId="32BA5129" w:rsidR="009D29AB" w:rsidRPr="009D29AB" w:rsidRDefault="009D29AB" w:rsidP="009D29AB">
      <w:pPr>
        <w:spacing w:before="120" w:after="120"/>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SURE jest</w:t>
      </w:r>
      <w:r w:rsidR="00A467B6">
        <w:rPr>
          <w:rFonts w:ascii="Times New Roman" w:hAnsi="Times New Roman"/>
          <w:b/>
          <w:color w:val="000000" w:themeColor="text1"/>
          <w:sz w:val="24"/>
          <w:szCs w:val="24"/>
        </w:rPr>
        <w:t xml:space="preserve"> z zał</w:t>
      </w:r>
      <w:r>
        <w:rPr>
          <w:rFonts w:ascii="Times New Roman" w:hAnsi="Times New Roman"/>
          <w:b/>
          <w:color w:val="000000" w:themeColor="text1"/>
          <w:sz w:val="24"/>
          <w:szCs w:val="24"/>
        </w:rPr>
        <w:t xml:space="preserve">ożenia instrumentem </w:t>
      </w:r>
      <w:r>
        <w:rPr>
          <w:rFonts w:ascii="Times New Roman" w:hAnsi="Times New Roman"/>
          <w:b/>
          <w:i/>
          <w:color w:val="000000" w:themeColor="text1"/>
          <w:sz w:val="24"/>
          <w:szCs w:val="24"/>
        </w:rPr>
        <w:t>tymczasowym</w:t>
      </w:r>
      <w:r>
        <w:rPr>
          <w:rFonts w:ascii="Times New Roman" w:hAnsi="Times New Roman"/>
          <w:b/>
          <w:color w:val="000000" w:themeColor="text1"/>
          <w:sz w:val="24"/>
          <w:szCs w:val="24"/>
        </w:rPr>
        <w:t>,</w:t>
      </w:r>
      <w:r w:rsidR="00A467B6">
        <w:rPr>
          <w:rFonts w:ascii="Times New Roman" w:hAnsi="Times New Roman"/>
          <w:b/>
          <w:color w:val="000000" w:themeColor="text1"/>
          <w:sz w:val="24"/>
          <w:szCs w:val="24"/>
        </w:rPr>
        <w:t xml:space="preserve"> a pon</w:t>
      </w:r>
      <w:r>
        <w:rPr>
          <w:rFonts w:ascii="Times New Roman" w:hAnsi="Times New Roman"/>
          <w:b/>
          <w:color w:val="000000" w:themeColor="text1"/>
          <w:sz w:val="24"/>
          <w:szCs w:val="24"/>
        </w:rPr>
        <w:t>ad 9</w:t>
      </w:r>
      <w:r w:rsidRPr="00A467B6">
        <w:rPr>
          <w:rFonts w:ascii="Times New Roman" w:hAnsi="Times New Roman"/>
          <w:b/>
          <w:color w:val="000000" w:themeColor="text1"/>
          <w:sz w:val="24"/>
          <w:szCs w:val="24"/>
        </w:rPr>
        <w:t>0</w:t>
      </w:r>
      <w:r w:rsidR="00A467B6" w:rsidRPr="00A467B6">
        <w:rPr>
          <w:rFonts w:ascii="Times New Roman" w:hAnsi="Times New Roman"/>
          <w:b/>
          <w:color w:val="000000" w:themeColor="text1"/>
          <w:sz w:val="24"/>
          <w:szCs w:val="24"/>
        </w:rPr>
        <w:t> </w:t>
      </w:r>
      <w:r w:rsidRPr="00A467B6">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jego zasobów zostało już rozdysponowanych.</w:t>
      </w:r>
      <w:r>
        <w:rPr>
          <w:rFonts w:ascii="Times New Roman" w:hAnsi="Times New Roman"/>
          <w:color w:val="000000" w:themeColor="text1"/>
          <w:sz w:val="24"/>
          <w:szCs w:val="24"/>
        </w:rPr>
        <w:t xml:space="preserve"> Kontynuowanie polityki mającej na celu utrzymanie pracowników</w:t>
      </w:r>
      <w:r w:rsidR="00A467B6">
        <w:rPr>
          <w:rFonts w:ascii="Times New Roman" w:hAnsi="Times New Roman"/>
          <w:color w:val="000000" w:themeColor="text1"/>
          <w:sz w:val="24"/>
          <w:szCs w:val="24"/>
        </w:rPr>
        <w:t xml:space="preserve"> w ich</w:t>
      </w:r>
      <w:r>
        <w:rPr>
          <w:rFonts w:ascii="Times New Roman" w:hAnsi="Times New Roman"/>
          <w:color w:val="000000" w:themeColor="text1"/>
          <w:sz w:val="24"/>
          <w:szCs w:val="24"/>
        </w:rPr>
        <w:t xml:space="preserve"> obecnym miejscu pracy dłużej, niż jest to uzasadnione okolicznościami może</w:t>
      </w:r>
      <w:r w:rsidR="00A467B6">
        <w:rPr>
          <w:rFonts w:ascii="Times New Roman" w:hAnsi="Times New Roman"/>
          <w:color w:val="000000" w:themeColor="text1"/>
          <w:sz w:val="24"/>
          <w:szCs w:val="24"/>
        </w:rPr>
        <w:t xml:space="preserve"> w rze</w:t>
      </w:r>
      <w:r>
        <w:rPr>
          <w:rFonts w:ascii="Times New Roman" w:hAnsi="Times New Roman"/>
          <w:color w:val="000000" w:themeColor="text1"/>
          <w:sz w:val="24"/>
          <w:szCs w:val="24"/>
        </w:rPr>
        <w:t>czywistości zahamować ożywienie gospodarcze zamiast je wspierać. Jeżeli faza występowania zdarzeń nadzwyczajnych ustąpi</w:t>
      </w:r>
      <w:r w:rsidR="00A467B6">
        <w:rPr>
          <w:rFonts w:ascii="Times New Roman" w:hAnsi="Times New Roman"/>
          <w:color w:val="000000" w:themeColor="text1"/>
          <w:sz w:val="24"/>
          <w:szCs w:val="24"/>
        </w:rPr>
        <w:t xml:space="preserve"> w 2</w:t>
      </w:r>
      <w:r>
        <w:rPr>
          <w:rFonts w:ascii="Times New Roman" w:hAnsi="Times New Roman"/>
          <w:color w:val="000000" w:themeColor="text1"/>
          <w:sz w:val="24"/>
          <w:szCs w:val="24"/>
        </w:rPr>
        <w:t>0</w:t>
      </w:r>
      <w:r w:rsidRPr="00A467B6">
        <w:rPr>
          <w:rFonts w:ascii="Times New Roman" w:hAnsi="Times New Roman"/>
          <w:color w:val="000000" w:themeColor="text1"/>
          <w:sz w:val="24"/>
          <w:szCs w:val="24"/>
        </w:rPr>
        <w:t>21</w:t>
      </w:r>
      <w:r w:rsidR="00A467B6" w:rsidRPr="00A467B6">
        <w:rPr>
          <w:rFonts w:ascii="Times New Roman" w:hAnsi="Times New Roman"/>
          <w:color w:val="000000" w:themeColor="text1"/>
          <w:sz w:val="24"/>
          <w:szCs w:val="24"/>
        </w:rPr>
        <w:t> </w:t>
      </w:r>
      <w:r w:rsidRPr="00A467B6">
        <w:rPr>
          <w:rFonts w:ascii="Times New Roman" w:hAnsi="Times New Roman"/>
          <w:color w:val="000000" w:themeColor="text1"/>
          <w:sz w:val="24"/>
          <w:szCs w:val="24"/>
        </w:rPr>
        <w:t>r.</w:t>
      </w:r>
      <w:r>
        <w:rPr>
          <w:rFonts w:ascii="Times New Roman" w:hAnsi="Times New Roman"/>
          <w:color w:val="000000" w:themeColor="text1"/>
          <w:sz w:val="24"/>
          <w:szCs w:val="24"/>
        </w:rPr>
        <w:t>, sytuacja może wymagać zastosowania innych środków,</w:t>
      </w:r>
      <w:r w:rsidR="00A467B6">
        <w:rPr>
          <w:rFonts w:ascii="Times New Roman" w:hAnsi="Times New Roman"/>
          <w:color w:val="000000" w:themeColor="text1"/>
          <w:sz w:val="24"/>
          <w:szCs w:val="24"/>
        </w:rPr>
        <w:t xml:space="preserve"> w szc</w:t>
      </w:r>
      <w:r>
        <w:rPr>
          <w:rFonts w:ascii="Times New Roman" w:hAnsi="Times New Roman"/>
          <w:color w:val="000000" w:themeColor="text1"/>
          <w:sz w:val="24"/>
          <w:szCs w:val="24"/>
        </w:rPr>
        <w:t>zególności aktywnej polityki rynku pracy, np. zachęt do tworzenia miejsc pracy</w:t>
      </w:r>
      <w:r w:rsidR="00A467B6">
        <w:rPr>
          <w:rFonts w:ascii="Times New Roman" w:hAnsi="Times New Roman"/>
          <w:color w:val="000000" w:themeColor="text1"/>
          <w:sz w:val="24"/>
          <w:szCs w:val="24"/>
        </w:rPr>
        <w:t xml:space="preserve"> i wsp</w:t>
      </w:r>
      <w:r>
        <w:rPr>
          <w:rFonts w:ascii="Times New Roman" w:hAnsi="Times New Roman"/>
          <w:color w:val="000000" w:themeColor="text1"/>
          <w:sz w:val="24"/>
          <w:szCs w:val="24"/>
        </w:rPr>
        <w:t>arcia przedsiębiorczości, możliwości doskonalenia zawodowego</w:t>
      </w:r>
      <w:r w:rsidR="00A467B6">
        <w:rPr>
          <w:rFonts w:ascii="Times New Roman" w:hAnsi="Times New Roman"/>
          <w:color w:val="000000" w:themeColor="text1"/>
          <w:sz w:val="24"/>
          <w:szCs w:val="24"/>
        </w:rPr>
        <w:t xml:space="preserve"> i zmi</w:t>
      </w:r>
      <w:r>
        <w:rPr>
          <w:rFonts w:ascii="Times New Roman" w:hAnsi="Times New Roman"/>
          <w:color w:val="000000" w:themeColor="text1"/>
          <w:sz w:val="24"/>
          <w:szCs w:val="24"/>
        </w:rPr>
        <w:t>any kwalifikacji oraz zwiększonego wsparcia ze strony służb zatrudnienia.</w:t>
      </w:r>
    </w:p>
    <w:p w14:paraId="2AF8776E" w14:textId="77777777" w:rsidR="009D29AB" w:rsidRPr="000C43EC" w:rsidRDefault="009D29AB" w:rsidP="009D29AB">
      <w:pPr>
        <w:spacing w:before="120" w:after="120"/>
        <w:rPr>
          <w:rFonts w:ascii="Times New Roman" w:hAnsi="Times New Roman" w:cs="Times New Roman"/>
          <w:color w:val="FF0000"/>
        </w:rPr>
      </w:pPr>
    </w:p>
    <w:p w14:paraId="190A88EF" w14:textId="77777777" w:rsidR="009D29AB" w:rsidRPr="009D29AB" w:rsidRDefault="009D29AB" w:rsidP="00D61F7B">
      <w:pPr>
        <w:numPr>
          <w:ilvl w:val="0"/>
          <w:numId w:val="22"/>
        </w:numPr>
        <w:spacing w:before="120" w:after="120" w:line="240" w:lineRule="auto"/>
        <w:ind w:left="357" w:hanging="357"/>
        <w:jc w:val="both"/>
        <w:rPr>
          <w:rFonts w:ascii="Times New Roman" w:eastAsia="Times New Roman" w:hAnsi="Times New Roman" w:cs="Times New Roman"/>
          <w:b/>
          <w:color w:val="000000" w:themeColor="text1"/>
          <w:sz w:val="24"/>
          <w:szCs w:val="20"/>
        </w:rPr>
      </w:pPr>
      <w:r>
        <w:rPr>
          <w:rFonts w:ascii="Times New Roman" w:hAnsi="Times New Roman"/>
          <w:b/>
          <w:smallCaps/>
          <w:sz w:val="24"/>
          <w:szCs w:val="20"/>
        </w:rPr>
        <w:t>Obowiązki sprawozdawcze na mocy ram dotyczących unijnych obligacji społecznych SURE</w:t>
      </w:r>
      <w:r>
        <w:rPr>
          <w:rFonts w:ascii="Times New Roman" w:hAnsi="Times New Roman"/>
          <w:b/>
          <w:color w:val="000000" w:themeColor="text1"/>
          <w:sz w:val="24"/>
          <w:szCs w:val="20"/>
        </w:rPr>
        <w:t xml:space="preserve"> </w:t>
      </w:r>
    </w:p>
    <w:p w14:paraId="443407B9" w14:textId="38F4BF21" w:rsidR="009D29AB" w:rsidRPr="009D29AB" w:rsidRDefault="009D29AB" w:rsidP="009D29AB">
      <w:pPr>
        <w:spacing w:before="120" w:after="120"/>
        <w:jc w:val="both"/>
        <w:rPr>
          <w:rFonts w:ascii="Times New Roman" w:hAnsi="Times New Roman" w:cs="Times New Roman"/>
          <w:b/>
          <w:sz w:val="24"/>
        </w:rPr>
      </w:pPr>
      <w:r>
        <w:rPr>
          <w:rFonts w:ascii="Times New Roman" w:hAnsi="Times New Roman"/>
          <w:b/>
          <w:sz w:val="24"/>
        </w:rPr>
        <w:t>W niniejszej sekcji wywiązano się</w:t>
      </w:r>
      <w:r w:rsidR="00A467B6">
        <w:rPr>
          <w:rFonts w:ascii="Times New Roman" w:hAnsi="Times New Roman"/>
          <w:b/>
          <w:sz w:val="24"/>
        </w:rPr>
        <w:t xml:space="preserve"> z obo</w:t>
      </w:r>
      <w:r>
        <w:rPr>
          <w:rFonts w:ascii="Times New Roman" w:hAnsi="Times New Roman"/>
          <w:b/>
          <w:sz w:val="24"/>
        </w:rPr>
        <w:t xml:space="preserve">wiązku sprawozdawczego na mocy </w:t>
      </w:r>
      <w:r w:rsidRPr="00A467B6">
        <w:rPr>
          <w:rFonts w:ascii="Times New Roman" w:hAnsi="Times New Roman"/>
          <w:b/>
          <w:sz w:val="24"/>
        </w:rPr>
        <w:t>pkt</w:t>
      </w:r>
      <w:r w:rsidR="00A467B6" w:rsidRPr="00A467B6">
        <w:rPr>
          <w:rFonts w:ascii="Times New Roman" w:hAnsi="Times New Roman"/>
          <w:b/>
          <w:sz w:val="24"/>
        </w:rPr>
        <w:t> </w:t>
      </w:r>
      <w:r w:rsidRPr="00A467B6">
        <w:rPr>
          <w:rFonts w:ascii="Times New Roman" w:hAnsi="Times New Roman"/>
          <w:b/>
          <w:sz w:val="24"/>
        </w:rPr>
        <w:t>2</w:t>
      </w:r>
      <w:r>
        <w:rPr>
          <w:rFonts w:ascii="Times New Roman" w:hAnsi="Times New Roman"/>
          <w:b/>
          <w:sz w:val="24"/>
        </w:rPr>
        <w:t>.4 ram dotyczących unijnych obligacji społecznych SURE („ramy”).</w:t>
      </w:r>
      <w:r>
        <w:rPr>
          <w:rFonts w:ascii="Times New Roman" w:hAnsi="Times New Roman"/>
          <w:sz w:val="24"/>
        </w:rPr>
        <w:t xml:space="preserve"> Obejmuje to przedstawienie sprawozdania</w:t>
      </w:r>
      <w:r w:rsidR="00A467B6">
        <w:rPr>
          <w:rFonts w:ascii="Times New Roman" w:hAnsi="Times New Roman"/>
          <w:sz w:val="24"/>
        </w:rPr>
        <w:t xml:space="preserve"> w zak</w:t>
      </w:r>
      <w:r>
        <w:rPr>
          <w:rFonts w:ascii="Times New Roman" w:hAnsi="Times New Roman"/>
          <w:sz w:val="24"/>
        </w:rPr>
        <w:t>resie przydziału środków z SURE</w:t>
      </w:r>
      <w:r w:rsidR="00A467B6">
        <w:rPr>
          <w:rFonts w:ascii="Times New Roman" w:hAnsi="Times New Roman"/>
          <w:sz w:val="24"/>
        </w:rPr>
        <w:t xml:space="preserve"> w pod</w:t>
      </w:r>
      <w:r>
        <w:rPr>
          <w:rFonts w:ascii="Times New Roman" w:hAnsi="Times New Roman"/>
          <w:sz w:val="24"/>
        </w:rPr>
        <w:t>ziale na państwa członkowskie korzystające</w:t>
      </w:r>
      <w:r w:rsidR="00A467B6">
        <w:rPr>
          <w:rFonts w:ascii="Times New Roman" w:hAnsi="Times New Roman"/>
          <w:sz w:val="24"/>
        </w:rPr>
        <w:t xml:space="preserve"> z pom</w:t>
      </w:r>
      <w:r>
        <w:rPr>
          <w:rFonts w:ascii="Times New Roman" w:hAnsi="Times New Roman"/>
          <w:sz w:val="24"/>
        </w:rPr>
        <w:t>ocy oraz na planowane główne rodzaje kwalifikowalnych wydatków socjalnych,</w:t>
      </w:r>
      <w:r w:rsidR="00A467B6">
        <w:rPr>
          <w:rFonts w:ascii="Times New Roman" w:hAnsi="Times New Roman"/>
          <w:sz w:val="24"/>
        </w:rPr>
        <w:t xml:space="preserve"> a tak</w:t>
      </w:r>
      <w:r>
        <w:rPr>
          <w:rFonts w:ascii="Times New Roman" w:hAnsi="Times New Roman"/>
          <w:sz w:val="24"/>
        </w:rPr>
        <w:t>że</w:t>
      </w:r>
      <w:r w:rsidR="00A467B6">
        <w:rPr>
          <w:rFonts w:ascii="Times New Roman" w:hAnsi="Times New Roman"/>
          <w:sz w:val="24"/>
        </w:rPr>
        <w:t xml:space="preserve"> w zak</w:t>
      </w:r>
      <w:r>
        <w:rPr>
          <w:rFonts w:ascii="Times New Roman" w:hAnsi="Times New Roman"/>
          <w:sz w:val="24"/>
        </w:rPr>
        <w:t>resie wpływu tych środków.</w:t>
      </w:r>
    </w:p>
    <w:p w14:paraId="1B192850" w14:textId="5302FDEF"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Wprowadzenie SURE stanowiło również element zaangażowania UE na rzecz zrównoważonego finansowania</w:t>
      </w:r>
      <w:r w:rsidR="00A467B6">
        <w:rPr>
          <w:rFonts w:ascii="Times New Roman" w:hAnsi="Times New Roman"/>
          <w:b/>
          <w:sz w:val="24"/>
        </w:rPr>
        <w:t xml:space="preserve"> i prz</w:t>
      </w:r>
      <w:r>
        <w:rPr>
          <w:rFonts w:ascii="Times New Roman" w:hAnsi="Times New Roman"/>
          <w:b/>
          <w:sz w:val="24"/>
        </w:rPr>
        <w:t>yczyniło się do dalszego rozwoju rynku obligacji społecznych</w:t>
      </w:r>
      <w:r w:rsidR="00A467B6">
        <w:rPr>
          <w:rFonts w:ascii="Times New Roman" w:hAnsi="Times New Roman"/>
          <w:b/>
          <w:sz w:val="24"/>
        </w:rPr>
        <w:t xml:space="preserve">. </w:t>
      </w:r>
      <w:r w:rsidR="00A467B6">
        <w:rPr>
          <w:rFonts w:ascii="Times New Roman" w:hAnsi="Times New Roman"/>
          <w:sz w:val="24"/>
        </w:rPr>
        <w:t>W</w:t>
      </w:r>
      <w:r w:rsidR="00A467B6">
        <w:rPr>
          <w:rFonts w:ascii="Times New Roman" w:hAnsi="Times New Roman"/>
          <w:b/>
          <w:sz w:val="24"/>
        </w:rPr>
        <w:t> </w:t>
      </w:r>
      <w:r w:rsidR="00A467B6">
        <w:rPr>
          <w:rFonts w:ascii="Times New Roman" w:hAnsi="Times New Roman"/>
          <w:sz w:val="24"/>
        </w:rPr>
        <w:t>dni</w:t>
      </w:r>
      <w:r>
        <w:rPr>
          <w:rFonts w:ascii="Times New Roman" w:hAnsi="Times New Roman"/>
          <w:sz w:val="24"/>
        </w:rPr>
        <w:t>u 7 października 20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Komisja zapowiedziała, że wyemituje wszystkie obligacje SURE jako obligacje społeczne,</w:t>
      </w:r>
      <w:r w:rsidR="00A467B6">
        <w:rPr>
          <w:rFonts w:ascii="Times New Roman" w:hAnsi="Times New Roman"/>
          <w:sz w:val="24"/>
        </w:rPr>
        <w:t xml:space="preserve"> i prz</w:t>
      </w:r>
      <w:r>
        <w:rPr>
          <w:rFonts w:ascii="Times New Roman" w:hAnsi="Times New Roman"/>
          <w:sz w:val="24"/>
        </w:rPr>
        <w:t>yjęła ramy dotyczące unijnych obligacji społecznych. Obligacje społeczne oferowane inwestorom to aktywa,</w:t>
      </w:r>
      <w:r w:rsidR="00A467B6">
        <w:rPr>
          <w:rFonts w:ascii="Times New Roman" w:hAnsi="Times New Roman"/>
          <w:sz w:val="24"/>
        </w:rPr>
        <w:t xml:space="preserve"> z któ</w:t>
      </w:r>
      <w:r>
        <w:rPr>
          <w:rFonts w:ascii="Times New Roman" w:hAnsi="Times New Roman"/>
          <w:sz w:val="24"/>
        </w:rPr>
        <w:t xml:space="preserve">rych dochody wykorzystuje się do wspierania pozytywnych skutków społecznych. </w:t>
      </w:r>
    </w:p>
    <w:p w14:paraId="2F2C5251" w14:textId="0E1E92B6"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Ramy dają inwestorom pewność, że jest to zgodne</w:t>
      </w:r>
      <w:r w:rsidR="00A467B6">
        <w:rPr>
          <w:rFonts w:ascii="Times New Roman" w:hAnsi="Times New Roman"/>
          <w:b/>
          <w:sz w:val="24"/>
        </w:rPr>
        <w:t xml:space="preserve"> z zas</w:t>
      </w:r>
      <w:r>
        <w:rPr>
          <w:rFonts w:ascii="Times New Roman" w:hAnsi="Times New Roman"/>
          <w:b/>
          <w:sz w:val="24"/>
        </w:rPr>
        <w:t>adami dotyczącymi obligacji społecznych ICMA</w:t>
      </w:r>
      <w:r>
        <w:rPr>
          <w:rFonts w:ascii="Times New Roman" w:hAnsi="Times New Roman" w:cs="Times New Roman"/>
          <w:sz w:val="24"/>
          <w:vertAlign w:val="superscript"/>
          <w:lang w:val="en-GB"/>
        </w:rPr>
        <w:footnoteReference w:id="48"/>
      </w:r>
      <w:r>
        <w:rPr>
          <w:rFonts w:ascii="Times New Roman" w:hAnsi="Times New Roman"/>
          <w:sz w:val="24"/>
        </w:rPr>
        <w:t>. Zasady te mają na celu zagwarantowanie, że środki z SURE będą wykorzystywane do finansowania ukierunkowanych środków polityki społecznej</w:t>
      </w:r>
      <w:r w:rsidR="00A467B6">
        <w:rPr>
          <w:rFonts w:ascii="Times New Roman" w:hAnsi="Times New Roman"/>
          <w:sz w:val="24"/>
        </w:rPr>
        <w:t>. W </w:t>
      </w:r>
      <w:r w:rsidR="00A467B6" w:rsidRPr="00A467B6">
        <w:rPr>
          <w:rFonts w:ascii="Times New Roman" w:hAnsi="Times New Roman"/>
          <w:sz w:val="24"/>
        </w:rPr>
        <w:t>pkt </w:t>
      </w:r>
      <w:r w:rsidRPr="00A467B6">
        <w:rPr>
          <w:rFonts w:ascii="Times New Roman" w:hAnsi="Times New Roman"/>
          <w:sz w:val="24"/>
        </w:rPr>
        <w:t>2</w:t>
      </w:r>
      <w:r>
        <w:rPr>
          <w:rFonts w:ascii="Times New Roman" w:hAnsi="Times New Roman"/>
          <w:sz w:val="24"/>
        </w:rPr>
        <w:t>.4 ram zawarto zobowiązanie do przedstawiania sprawozdań na temat szeregu elementów</w:t>
      </w:r>
      <w:r w:rsidR="00A467B6">
        <w:rPr>
          <w:rFonts w:ascii="Times New Roman" w:hAnsi="Times New Roman"/>
          <w:sz w:val="24"/>
        </w:rPr>
        <w:t xml:space="preserve"> w cel</w:t>
      </w:r>
      <w:r>
        <w:rPr>
          <w:rFonts w:ascii="Times New Roman" w:hAnsi="Times New Roman"/>
          <w:sz w:val="24"/>
        </w:rPr>
        <w:t>u zapewnienia przejrzystości</w:t>
      </w:r>
      <w:r w:rsidR="00A467B6">
        <w:rPr>
          <w:rFonts w:ascii="Times New Roman" w:hAnsi="Times New Roman"/>
          <w:sz w:val="24"/>
        </w:rPr>
        <w:t xml:space="preserve"> w tym</w:t>
      </w:r>
      <w:r>
        <w:rPr>
          <w:rFonts w:ascii="Times New Roman" w:hAnsi="Times New Roman"/>
          <w:sz w:val="24"/>
        </w:rPr>
        <w:t xml:space="preserve"> zakresie,</w:t>
      </w:r>
      <w:r w:rsidR="00A467B6">
        <w:rPr>
          <w:rFonts w:ascii="Times New Roman" w:hAnsi="Times New Roman"/>
          <w:sz w:val="24"/>
        </w:rPr>
        <w:t xml:space="preserve"> w szc</w:t>
      </w:r>
      <w:r>
        <w:rPr>
          <w:rFonts w:ascii="Times New Roman" w:hAnsi="Times New Roman"/>
          <w:sz w:val="24"/>
        </w:rPr>
        <w:t>zególności</w:t>
      </w:r>
      <w:r w:rsidR="00A467B6">
        <w:rPr>
          <w:rFonts w:ascii="Times New Roman" w:hAnsi="Times New Roman"/>
          <w:sz w:val="24"/>
        </w:rPr>
        <w:t xml:space="preserve"> w odn</w:t>
      </w:r>
      <w:r>
        <w:rPr>
          <w:rFonts w:ascii="Times New Roman" w:hAnsi="Times New Roman"/>
          <w:sz w:val="24"/>
        </w:rPr>
        <w:t>iesieniu do przydziału środków z SURE</w:t>
      </w:r>
      <w:r w:rsidR="00A467B6">
        <w:rPr>
          <w:rFonts w:ascii="Times New Roman" w:hAnsi="Times New Roman"/>
          <w:sz w:val="24"/>
        </w:rPr>
        <w:t xml:space="preserve"> i ich</w:t>
      </w:r>
      <w:r>
        <w:rPr>
          <w:rFonts w:ascii="Times New Roman" w:hAnsi="Times New Roman"/>
          <w:sz w:val="24"/>
        </w:rPr>
        <w:t xml:space="preserve"> wpływu.</w:t>
      </w:r>
    </w:p>
    <w:p w14:paraId="525EAB51" w14:textId="2D22C6EF"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Po pierwsze, jeżeli chodzi</w:t>
      </w:r>
      <w:r w:rsidR="00A467B6">
        <w:rPr>
          <w:rFonts w:ascii="Times New Roman" w:hAnsi="Times New Roman"/>
          <w:b/>
          <w:sz w:val="24"/>
        </w:rPr>
        <w:t xml:space="preserve"> o prz</w:t>
      </w:r>
      <w:r>
        <w:rPr>
          <w:rFonts w:ascii="Times New Roman" w:hAnsi="Times New Roman"/>
          <w:b/>
          <w:sz w:val="24"/>
        </w:rPr>
        <w:t>ydział, należy przedstawić podział środków z SURE na państwa członkowskie korzystające</w:t>
      </w:r>
      <w:r w:rsidR="00A467B6">
        <w:rPr>
          <w:rFonts w:ascii="Times New Roman" w:hAnsi="Times New Roman"/>
          <w:b/>
          <w:sz w:val="24"/>
        </w:rPr>
        <w:t xml:space="preserve"> z pom</w:t>
      </w:r>
      <w:r>
        <w:rPr>
          <w:rFonts w:ascii="Times New Roman" w:hAnsi="Times New Roman"/>
          <w:b/>
          <w:sz w:val="24"/>
        </w:rPr>
        <w:t>ocy oraz na planowane główne rodzaje kwalifikowalnych wydatków socjalnych</w:t>
      </w:r>
      <w:r>
        <w:rPr>
          <w:rFonts w:ascii="Times New Roman" w:hAnsi="Times New Roman"/>
          <w:sz w:val="24"/>
        </w:rPr>
        <w:t>. Podział środków przyznanych</w:t>
      </w:r>
      <w:r w:rsidR="00A467B6">
        <w:rPr>
          <w:rFonts w:ascii="Times New Roman" w:hAnsi="Times New Roman"/>
          <w:sz w:val="24"/>
        </w:rPr>
        <w:t xml:space="preserve"> i wyp</w:t>
      </w:r>
      <w:r>
        <w:rPr>
          <w:rFonts w:ascii="Times New Roman" w:hAnsi="Times New Roman"/>
          <w:sz w:val="24"/>
        </w:rPr>
        <w:t>łaconych każdemu państwu członkowskiemu przedstawiono</w:t>
      </w:r>
      <w:r w:rsidR="00A467B6">
        <w:rPr>
          <w:rFonts w:ascii="Times New Roman" w:hAnsi="Times New Roman"/>
          <w:sz w:val="24"/>
        </w:rPr>
        <w:t xml:space="preserve"> w sek</w:t>
      </w:r>
      <w:r>
        <w:rPr>
          <w:rFonts w:ascii="Times New Roman" w:hAnsi="Times New Roman"/>
          <w:sz w:val="24"/>
        </w:rPr>
        <w:t>cji II ppkt (ii) niniejszego sprawozdania. Według stanu na luty 20</w:t>
      </w:r>
      <w:r w:rsidRPr="00A467B6">
        <w:rPr>
          <w:rFonts w:ascii="Times New Roman" w:hAnsi="Times New Roman"/>
          <w:sz w:val="24"/>
        </w:rPr>
        <w:t>21</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pięć państw członkowskich otrzymało całą kwotę przyznaną im przez Radę, dwa państwa członkowskie otrzymały około trzech czwartych,</w:t>
      </w:r>
      <w:r w:rsidR="00A467B6">
        <w:rPr>
          <w:rFonts w:ascii="Times New Roman" w:hAnsi="Times New Roman"/>
          <w:sz w:val="24"/>
        </w:rPr>
        <w:t xml:space="preserve"> a osi</w:t>
      </w:r>
      <w:r>
        <w:rPr>
          <w:rFonts w:ascii="Times New Roman" w:hAnsi="Times New Roman"/>
          <w:sz w:val="24"/>
        </w:rPr>
        <w:t>em państw członkowskich otrzymało około połowę tej kwoty</w:t>
      </w:r>
      <w:r w:rsidR="00A467B6">
        <w:rPr>
          <w:rFonts w:ascii="Times New Roman" w:hAnsi="Times New Roman"/>
          <w:sz w:val="24"/>
        </w:rPr>
        <w:t>. W sek</w:t>
      </w:r>
      <w:r>
        <w:rPr>
          <w:rFonts w:ascii="Times New Roman" w:hAnsi="Times New Roman"/>
          <w:sz w:val="24"/>
        </w:rPr>
        <w:t>cji III.1 opisano przydział środków dla wszystkich państw członkowskich korzystających</w:t>
      </w:r>
      <w:r w:rsidR="00A467B6">
        <w:rPr>
          <w:rFonts w:ascii="Times New Roman" w:hAnsi="Times New Roman"/>
          <w:sz w:val="24"/>
        </w:rPr>
        <w:t xml:space="preserve"> z pom</w:t>
      </w:r>
      <w:r>
        <w:rPr>
          <w:rFonts w:ascii="Times New Roman" w:hAnsi="Times New Roman"/>
          <w:sz w:val="24"/>
        </w:rPr>
        <w:t>ocy</w:t>
      </w:r>
      <w:r w:rsidR="00A467B6">
        <w:rPr>
          <w:rFonts w:ascii="Times New Roman" w:hAnsi="Times New Roman"/>
          <w:sz w:val="24"/>
        </w:rPr>
        <w:t xml:space="preserve"> w ram</w:t>
      </w:r>
      <w:r>
        <w:rPr>
          <w:rFonts w:ascii="Times New Roman" w:hAnsi="Times New Roman"/>
          <w:sz w:val="24"/>
        </w:rPr>
        <w:t>ach SURE według rodzaju wydatków kwalifikowalnych, tj. na instrumenty rynku pracy i na środki ochrony zdrowia. Ogółem 94 mld EUR, czyli 9</w:t>
      </w:r>
      <w:r w:rsidRPr="00A467B6">
        <w:rPr>
          <w:rFonts w:ascii="Times New Roman" w:hAnsi="Times New Roman"/>
          <w:sz w:val="24"/>
        </w:rPr>
        <w:t>5</w:t>
      </w:r>
      <w:r w:rsidR="00A467B6" w:rsidRPr="00A467B6">
        <w:rPr>
          <w:rFonts w:ascii="Times New Roman" w:hAnsi="Times New Roman"/>
          <w:sz w:val="24"/>
        </w:rPr>
        <w:t> </w:t>
      </w:r>
      <w:r w:rsidRPr="00A467B6">
        <w:rPr>
          <w:rFonts w:ascii="Times New Roman" w:hAnsi="Times New Roman"/>
          <w:sz w:val="24"/>
        </w:rPr>
        <w:t>%</w:t>
      </w:r>
      <w:r>
        <w:rPr>
          <w:rFonts w:ascii="Times New Roman" w:hAnsi="Times New Roman"/>
          <w:sz w:val="24"/>
        </w:rPr>
        <w:t xml:space="preserve"> wydatków publicznych, przeznaczono na instrumenty rynku pracy. Proporcja ta pozostaje niezmieniona po wyłączeniu Bułgarii, Czech</w:t>
      </w:r>
      <w:r w:rsidR="00A467B6">
        <w:rPr>
          <w:rFonts w:ascii="Times New Roman" w:hAnsi="Times New Roman"/>
          <w:sz w:val="24"/>
        </w:rPr>
        <w:t xml:space="preserve"> i Irl</w:t>
      </w:r>
      <w:r>
        <w:rPr>
          <w:rFonts w:ascii="Times New Roman" w:hAnsi="Times New Roman"/>
          <w:sz w:val="24"/>
        </w:rPr>
        <w:t>andii, które nie otrzymały jeszcze wypłat.</w:t>
      </w:r>
    </w:p>
    <w:p w14:paraId="14DF1D9E" w14:textId="4E9CF58B" w:rsidR="009D29AB" w:rsidRPr="00A467B6" w:rsidRDefault="009D29AB" w:rsidP="009D29AB">
      <w:pPr>
        <w:spacing w:before="120" w:after="120"/>
        <w:jc w:val="both"/>
        <w:rPr>
          <w:rFonts w:ascii="Times New Roman" w:hAnsi="Times New Roman" w:cs="Times New Roman"/>
          <w:sz w:val="24"/>
        </w:rPr>
      </w:pPr>
      <w:r>
        <w:rPr>
          <w:rFonts w:ascii="Times New Roman" w:hAnsi="Times New Roman"/>
          <w:b/>
          <w:sz w:val="24"/>
        </w:rPr>
        <w:t>Po drugie, Komisja zobowiązała się do składania sprawozdań na temat wpływu środków z SURE na podstawie informacji na temat realizacji planowanych wydatków publicznych, które państwa członkowskie korzystające</w:t>
      </w:r>
      <w:r w:rsidR="00A467B6">
        <w:rPr>
          <w:rFonts w:ascii="Times New Roman" w:hAnsi="Times New Roman"/>
          <w:b/>
          <w:sz w:val="24"/>
        </w:rPr>
        <w:t xml:space="preserve"> z pom</w:t>
      </w:r>
      <w:r>
        <w:rPr>
          <w:rFonts w:ascii="Times New Roman" w:hAnsi="Times New Roman"/>
          <w:b/>
          <w:sz w:val="24"/>
        </w:rPr>
        <w:t xml:space="preserve">ocy muszą przekazywać co sześć miesięcy. </w:t>
      </w:r>
      <w:r>
        <w:rPr>
          <w:rFonts w:ascii="Times New Roman" w:hAnsi="Times New Roman"/>
          <w:sz w:val="24"/>
        </w:rPr>
        <w:t>Mogłoby to obejmować na przykład dane dotyczące liczby osób</w:t>
      </w:r>
      <w:r w:rsidR="00A467B6">
        <w:rPr>
          <w:rFonts w:ascii="Times New Roman" w:hAnsi="Times New Roman"/>
          <w:sz w:val="24"/>
        </w:rPr>
        <w:t xml:space="preserve"> i prz</w:t>
      </w:r>
      <w:r>
        <w:rPr>
          <w:rFonts w:ascii="Times New Roman" w:hAnsi="Times New Roman"/>
          <w:sz w:val="24"/>
        </w:rPr>
        <w:t>edsiębiorstw objętych finansowanymi politykami lub otrzymujących wsparcie</w:t>
      </w:r>
      <w:r w:rsidR="00A467B6">
        <w:rPr>
          <w:rFonts w:ascii="Times New Roman" w:hAnsi="Times New Roman"/>
          <w:sz w:val="24"/>
        </w:rPr>
        <w:t xml:space="preserve"> w ram</w:t>
      </w:r>
      <w:r>
        <w:rPr>
          <w:rFonts w:ascii="Times New Roman" w:hAnsi="Times New Roman"/>
          <w:sz w:val="24"/>
        </w:rPr>
        <w:t>ach tych polityk. Zgodnie</w:t>
      </w:r>
      <w:r w:rsidR="00A467B6">
        <w:rPr>
          <w:rFonts w:ascii="Times New Roman" w:hAnsi="Times New Roman"/>
          <w:sz w:val="24"/>
        </w:rPr>
        <w:t xml:space="preserve"> z ram</w:t>
      </w:r>
      <w:r>
        <w:rPr>
          <w:rFonts w:ascii="Times New Roman" w:hAnsi="Times New Roman"/>
          <w:sz w:val="24"/>
        </w:rPr>
        <w:t>ami sprawozdawczość ta będzie zależała od jakości</w:t>
      </w:r>
      <w:r w:rsidR="00A467B6">
        <w:rPr>
          <w:rFonts w:ascii="Times New Roman" w:hAnsi="Times New Roman"/>
          <w:sz w:val="24"/>
        </w:rPr>
        <w:t xml:space="preserve"> i sto</w:t>
      </w:r>
      <w:r>
        <w:rPr>
          <w:rFonts w:ascii="Times New Roman" w:hAnsi="Times New Roman"/>
          <w:sz w:val="24"/>
        </w:rPr>
        <w:t>pnia szczegółowości informacji przekazywanych przez państwa członkowskie</w:t>
      </w:r>
      <w:r w:rsidR="00A467B6">
        <w:rPr>
          <w:rFonts w:ascii="Times New Roman" w:hAnsi="Times New Roman"/>
          <w:sz w:val="24"/>
        </w:rPr>
        <w:t>. W sek</w:t>
      </w:r>
      <w:r>
        <w:rPr>
          <w:rFonts w:ascii="Times New Roman" w:hAnsi="Times New Roman"/>
          <w:sz w:val="24"/>
        </w:rPr>
        <w:t>cji III.2 niniejszego sprawozdania przedstawiono szacunki dotyczące odsetka pracowników</w:t>
      </w:r>
      <w:r w:rsidR="00A467B6">
        <w:rPr>
          <w:rFonts w:ascii="Times New Roman" w:hAnsi="Times New Roman"/>
          <w:sz w:val="24"/>
        </w:rPr>
        <w:t xml:space="preserve"> i osó</w:t>
      </w:r>
      <w:r>
        <w:rPr>
          <w:rFonts w:ascii="Times New Roman" w:hAnsi="Times New Roman"/>
          <w:sz w:val="24"/>
        </w:rPr>
        <w:t>b samozatrudnionych objętych instrumentem. Szacuje się, że</w:t>
      </w:r>
      <w:r w:rsidR="00A467B6">
        <w:rPr>
          <w:rFonts w:ascii="Times New Roman" w:hAnsi="Times New Roman"/>
          <w:sz w:val="24"/>
        </w:rPr>
        <w:t xml:space="preserve"> w 2</w:t>
      </w:r>
      <w:r>
        <w:rPr>
          <w:rFonts w:ascii="Times New Roman" w:hAnsi="Times New Roman"/>
          <w:sz w:val="24"/>
        </w:rPr>
        <w:t>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jedna czwarta pracowników</w:t>
      </w:r>
      <w:r w:rsidR="00A467B6">
        <w:rPr>
          <w:rFonts w:ascii="Times New Roman" w:hAnsi="Times New Roman"/>
          <w:sz w:val="24"/>
        </w:rPr>
        <w:t xml:space="preserve"> i osó</w:t>
      </w:r>
      <w:r>
        <w:rPr>
          <w:rFonts w:ascii="Times New Roman" w:hAnsi="Times New Roman"/>
          <w:sz w:val="24"/>
        </w:rPr>
        <w:t>b samozatrudnionych otrzymała wsparcie</w:t>
      </w:r>
      <w:r w:rsidR="00A467B6">
        <w:rPr>
          <w:rFonts w:ascii="Times New Roman" w:hAnsi="Times New Roman"/>
          <w:sz w:val="24"/>
        </w:rPr>
        <w:t xml:space="preserve"> w ram</w:t>
      </w:r>
      <w:r>
        <w:rPr>
          <w:rFonts w:ascii="Times New Roman" w:hAnsi="Times New Roman"/>
          <w:sz w:val="24"/>
        </w:rPr>
        <w:t>ach SURE we wszystkich państwach członkowskich korzystających</w:t>
      </w:r>
      <w:r w:rsidR="00A467B6">
        <w:rPr>
          <w:rFonts w:ascii="Times New Roman" w:hAnsi="Times New Roman"/>
          <w:sz w:val="24"/>
        </w:rPr>
        <w:t xml:space="preserve"> z pom</w:t>
      </w:r>
      <w:r>
        <w:rPr>
          <w:rFonts w:ascii="Times New Roman" w:hAnsi="Times New Roman"/>
          <w:sz w:val="24"/>
        </w:rPr>
        <w:t>ocy</w:t>
      </w:r>
      <w:r w:rsidRPr="00A467B6">
        <w:rPr>
          <w:rFonts w:ascii="Times New Roman" w:hAnsi="Times New Roman"/>
          <w:sz w:val="24"/>
        </w:rPr>
        <w:t>.</w:t>
      </w:r>
      <w:r w:rsidR="00A467B6" w:rsidRPr="00A467B6">
        <w:rPr>
          <w:rFonts w:ascii="Times New Roman" w:hAnsi="Times New Roman"/>
          <w:sz w:val="24"/>
        </w:rPr>
        <w:t xml:space="preserve"> </w:t>
      </w:r>
    </w:p>
    <w:p w14:paraId="4E7FEC0C" w14:textId="5B36EC2A" w:rsidR="009D29AB" w:rsidRPr="009D29AB" w:rsidRDefault="009D29AB" w:rsidP="009D29AB">
      <w:pPr>
        <w:spacing w:before="120" w:after="120"/>
        <w:jc w:val="both"/>
        <w:rPr>
          <w:rFonts w:ascii="Times New Roman" w:hAnsi="Times New Roman" w:cs="Times New Roman"/>
          <w:sz w:val="24"/>
        </w:rPr>
      </w:pPr>
      <w:r>
        <w:rPr>
          <w:rFonts w:ascii="Times New Roman" w:hAnsi="Times New Roman"/>
          <w:b/>
          <w:sz w:val="24"/>
        </w:rPr>
        <w:t>Wpływ SURE przeanalizowano również</w:t>
      </w:r>
      <w:r w:rsidR="00A467B6">
        <w:rPr>
          <w:rFonts w:ascii="Times New Roman" w:hAnsi="Times New Roman"/>
          <w:b/>
          <w:sz w:val="24"/>
        </w:rPr>
        <w:t xml:space="preserve"> w sek</w:t>
      </w:r>
      <w:r>
        <w:rPr>
          <w:rFonts w:ascii="Times New Roman" w:hAnsi="Times New Roman"/>
          <w:b/>
          <w:sz w:val="24"/>
        </w:rPr>
        <w:t xml:space="preserve">cji IV niniejszego sprawozdania. </w:t>
      </w:r>
      <w:r>
        <w:rPr>
          <w:rFonts w:ascii="Times New Roman" w:hAnsi="Times New Roman"/>
          <w:sz w:val="24"/>
        </w:rPr>
        <w:t>Wykazano, że we wszystkich państwach członkowskich korzystających</w:t>
      </w:r>
      <w:r w:rsidR="00A467B6">
        <w:rPr>
          <w:rFonts w:ascii="Times New Roman" w:hAnsi="Times New Roman"/>
          <w:sz w:val="24"/>
        </w:rPr>
        <w:t xml:space="preserve"> z pom</w:t>
      </w:r>
      <w:r>
        <w:rPr>
          <w:rFonts w:ascii="Times New Roman" w:hAnsi="Times New Roman"/>
          <w:sz w:val="24"/>
        </w:rPr>
        <w:t>ocy bezrobocie nie wzrosło</w:t>
      </w:r>
      <w:r w:rsidR="00A467B6">
        <w:rPr>
          <w:rFonts w:ascii="Times New Roman" w:hAnsi="Times New Roman"/>
          <w:sz w:val="24"/>
        </w:rPr>
        <w:t xml:space="preserve"> w 2</w:t>
      </w:r>
      <w:r>
        <w:rPr>
          <w:rFonts w:ascii="Times New Roman" w:hAnsi="Times New Roman"/>
          <w:sz w:val="24"/>
        </w:rPr>
        <w:t>0</w:t>
      </w:r>
      <w:r w:rsidRPr="00A467B6">
        <w:rPr>
          <w:rFonts w:ascii="Times New Roman" w:hAnsi="Times New Roman"/>
          <w:sz w:val="24"/>
        </w:rPr>
        <w:t>20</w:t>
      </w:r>
      <w:r w:rsidR="00A467B6" w:rsidRPr="00A467B6">
        <w:rPr>
          <w:rFonts w:ascii="Times New Roman" w:hAnsi="Times New Roman"/>
          <w:sz w:val="24"/>
        </w:rPr>
        <w:t> </w:t>
      </w:r>
      <w:r w:rsidRPr="00A467B6">
        <w:rPr>
          <w:rFonts w:ascii="Times New Roman" w:hAnsi="Times New Roman"/>
          <w:sz w:val="24"/>
        </w:rPr>
        <w:t>r.</w:t>
      </w:r>
      <w:r>
        <w:rPr>
          <w:rFonts w:ascii="Times New Roman" w:hAnsi="Times New Roman"/>
          <w:sz w:val="24"/>
        </w:rPr>
        <w:t xml:space="preserve"> tak bardzo, jak tego oczekiwano, biorąc pod uwagę znaczny spadek produkcji, który miał miejsce, co wskazuje na wkład SURE</w:t>
      </w:r>
      <w:r w:rsidR="00A467B6">
        <w:rPr>
          <w:rFonts w:ascii="Times New Roman" w:hAnsi="Times New Roman"/>
          <w:sz w:val="24"/>
        </w:rPr>
        <w:t xml:space="preserve"> w zap</w:t>
      </w:r>
      <w:r>
        <w:rPr>
          <w:rFonts w:ascii="Times New Roman" w:hAnsi="Times New Roman"/>
          <w:sz w:val="24"/>
        </w:rPr>
        <w:t>obieganie utracie miejsc pracy</w:t>
      </w:r>
      <w:r w:rsidR="00A467B6">
        <w:rPr>
          <w:rFonts w:ascii="Times New Roman" w:hAnsi="Times New Roman"/>
          <w:sz w:val="24"/>
        </w:rPr>
        <w:t>. W sek</w:t>
      </w:r>
      <w:r>
        <w:rPr>
          <w:rFonts w:ascii="Times New Roman" w:hAnsi="Times New Roman"/>
          <w:sz w:val="24"/>
        </w:rPr>
        <w:t>cji tej omówiono również inne pozytywne skutki SURE,</w:t>
      </w:r>
      <w:r w:rsidR="00A467B6">
        <w:rPr>
          <w:rFonts w:ascii="Times New Roman" w:hAnsi="Times New Roman"/>
          <w:sz w:val="24"/>
        </w:rPr>
        <w:t xml:space="preserve"> w tym</w:t>
      </w:r>
      <w:r>
        <w:rPr>
          <w:rFonts w:ascii="Times New Roman" w:hAnsi="Times New Roman"/>
          <w:sz w:val="24"/>
        </w:rPr>
        <w:t xml:space="preserve"> zwiększenie zaufania do gospodarki UE, zachęcanie do opracowywania ambitnych mechanizmów zmniejszonego wymiaru czasu pracy,</w:t>
      </w:r>
      <w:r w:rsidR="00A467B6">
        <w:rPr>
          <w:rFonts w:ascii="Times New Roman" w:hAnsi="Times New Roman"/>
          <w:sz w:val="24"/>
        </w:rPr>
        <w:t xml:space="preserve"> a tak</w:t>
      </w:r>
      <w:r>
        <w:rPr>
          <w:rFonts w:ascii="Times New Roman" w:hAnsi="Times New Roman"/>
          <w:sz w:val="24"/>
        </w:rPr>
        <w:t>że oszczędności państw członkowskich</w:t>
      </w:r>
      <w:r w:rsidR="00A467B6">
        <w:rPr>
          <w:rFonts w:ascii="Times New Roman" w:hAnsi="Times New Roman"/>
          <w:sz w:val="24"/>
        </w:rPr>
        <w:t xml:space="preserve"> z tyt</w:t>
      </w:r>
      <w:r>
        <w:rPr>
          <w:rFonts w:ascii="Times New Roman" w:hAnsi="Times New Roman"/>
          <w:sz w:val="24"/>
        </w:rPr>
        <w:t xml:space="preserve">ułu odsetek. </w:t>
      </w:r>
    </w:p>
    <w:p w14:paraId="1C8F644D" w14:textId="7875028C" w:rsidR="009D29AB" w:rsidRPr="00A467B6" w:rsidRDefault="009D29AB" w:rsidP="009D29AB">
      <w:pPr>
        <w:spacing w:before="120" w:after="120"/>
        <w:jc w:val="both"/>
        <w:rPr>
          <w:rFonts w:ascii="Times New Roman" w:hAnsi="Times New Roman" w:cs="Times New Roman"/>
          <w:sz w:val="24"/>
        </w:rPr>
      </w:pPr>
      <w:r>
        <w:rPr>
          <w:rFonts w:ascii="Times New Roman" w:hAnsi="Times New Roman"/>
          <w:b/>
          <w:sz w:val="24"/>
        </w:rPr>
        <w:t>Podsumowując, środki z SURE, które zostały przyznane</w:t>
      </w:r>
      <w:r w:rsidR="00A467B6">
        <w:rPr>
          <w:rFonts w:ascii="Times New Roman" w:hAnsi="Times New Roman"/>
          <w:b/>
          <w:sz w:val="24"/>
        </w:rPr>
        <w:t xml:space="preserve"> i wyp</w:t>
      </w:r>
      <w:r>
        <w:rPr>
          <w:rFonts w:ascii="Times New Roman" w:hAnsi="Times New Roman"/>
          <w:b/>
          <w:sz w:val="24"/>
        </w:rPr>
        <w:t>łacone państwom członkowskim, przeznaczono na wydatki publiczne, tj. na mechanizmy zmniejszonego wymiaru czasu pracy</w:t>
      </w:r>
      <w:r w:rsidR="00A467B6">
        <w:rPr>
          <w:rFonts w:ascii="Times New Roman" w:hAnsi="Times New Roman"/>
          <w:b/>
          <w:sz w:val="24"/>
        </w:rPr>
        <w:t xml:space="preserve"> i pod</w:t>
      </w:r>
      <w:r>
        <w:rPr>
          <w:rFonts w:ascii="Times New Roman" w:hAnsi="Times New Roman"/>
          <w:b/>
          <w:sz w:val="24"/>
        </w:rPr>
        <w:t>obne środki.</w:t>
      </w:r>
      <w:r>
        <w:rPr>
          <w:rFonts w:ascii="Times New Roman" w:hAnsi="Times New Roman"/>
          <w:sz w:val="24"/>
        </w:rPr>
        <w:t xml:space="preserve"> Tym samym wykorzystano je do sfinansowania środków polityki społecznej, co jest zgodne</w:t>
      </w:r>
      <w:r w:rsidR="00A467B6">
        <w:rPr>
          <w:rFonts w:ascii="Times New Roman" w:hAnsi="Times New Roman"/>
          <w:sz w:val="24"/>
        </w:rPr>
        <w:t xml:space="preserve"> z cel</w:t>
      </w:r>
      <w:r>
        <w:rPr>
          <w:rFonts w:ascii="Times New Roman" w:hAnsi="Times New Roman"/>
          <w:sz w:val="24"/>
        </w:rPr>
        <w:t>em obligacji społecznych</w:t>
      </w:r>
      <w:r w:rsidRPr="00A467B6">
        <w:rPr>
          <w:rFonts w:ascii="Times New Roman" w:hAnsi="Times New Roman"/>
          <w:sz w:val="24"/>
        </w:rPr>
        <w:t>.</w:t>
      </w:r>
      <w:r w:rsidR="00A467B6" w:rsidRPr="00A467B6">
        <w:rPr>
          <w:rFonts w:ascii="Times New Roman" w:hAnsi="Times New Roman"/>
          <w:sz w:val="24"/>
        </w:rPr>
        <w:t xml:space="preserve"> </w:t>
      </w:r>
    </w:p>
    <w:p w14:paraId="44078C94" w14:textId="77777777" w:rsidR="009D29AB" w:rsidRPr="000C43EC" w:rsidRDefault="009D29AB" w:rsidP="009D29AB">
      <w:pPr>
        <w:rPr>
          <w:rFonts w:ascii="Times New Roman" w:hAnsi="Times New Roman" w:cs="Times New Roman"/>
          <w:sz w:val="24"/>
        </w:rPr>
      </w:pPr>
    </w:p>
    <w:p w14:paraId="70A8E2DA" w14:textId="77777777" w:rsidR="009D29AB" w:rsidRPr="009D29AB" w:rsidRDefault="009D29AB" w:rsidP="009D29AB">
      <w:pPr>
        <w:rPr>
          <w:rFonts w:ascii="Times New Roman" w:hAnsi="Times New Roman" w:cs="Times New Roman"/>
          <w:sz w:val="24"/>
        </w:rPr>
      </w:pPr>
      <w:r>
        <w:br w:type="page"/>
      </w:r>
    </w:p>
    <w:p w14:paraId="1A13C447" w14:textId="77777777" w:rsidR="006472F1" w:rsidRPr="000C43EC" w:rsidRDefault="006472F1" w:rsidP="009D29AB">
      <w:pPr>
        <w:spacing w:before="120" w:after="120"/>
        <w:jc w:val="both"/>
        <w:rPr>
          <w:rFonts w:ascii="Times New Roman" w:hAnsi="Times New Roman" w:cs="Times New Roman"/>
          <w:sz w:val="24"/>
        </w:rPr>
        <w:sectPr w:rsidR="006472F1" w:rsidRPr="000C43EC">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pPr>
    </w:p>
    <w:p w14:paraId="035D8DAC" w14:textId="77777777" w:rsidR="00D61F7B" w:rsidRPr="000C43EC" w:rsidRDefault="00D61F7B" w:rsidP="009D29AB">
      <w:pPr>
        <w:spacing w:before="120" w:after="120"/>
        <w:jc w:val="both"/>
        <w:rPr>
          <w:rFonts w:ascii="Times New Roman" w:hAnsi="Times New Roman" w:cs="Times New Roman"/>
          <w:sz w:val="24"/>
        </w:rPr>
      </w:pPr>
    </w:p>
    <w:p w14:paraId="3710A39A" w14:textId="684FD1B7" w:rsidR="00D61F7B" w:rsidRPr="009D29AB" w:rsidRDefault="00D61F7B" w:rsidP="00D61F7B">
      <w:pPr>
        <w:jc w:val="both"/>
        <w:rPr>
          <w:rFonts w:ascii="Times New Roman" w:hAnsi="Times New Roman" w:cs="Times New Roman"/>
          <w:b/>
        </w:rPr>
      </w:pPr>
      <w:r>
        <w:rPr>
          <w:rFonts w:ascii="Times New Roman" w:hAnsi="Times New Roman"/>
          <w:b/>
        </w:rPr>
        <w:t>Załącznik 1: Przegląd mechanizmów zmniejszonego wymiaru czasu pracy</w:t>
      </w:r>
      <w:r w:rsidR="00A467B6">
        <w:rPr>
          <w:rFonts w:ascii="Times New Roman" w:hAnsi="Times New Roman"/>
          <w:b/>
        </w:rPr>
        <w:t xml:space="preserve"> i pod</w:t>
      </w:r>
      <w:r>
        <w:rPr>
          <w:rFonts w:ascii="Times New Roman" w:hAnsi="Times New Roman"/>
          <w:b/>
        </w:rPr>
        <w:t>obnych środków</w:t>
      </w:r>
    </w:p>
    <w:p w14:paraId="1461138E" w14:textId="7313C242" w:rsidR="00D61F7B" w:rsidRPr="009D29AB" w:rsidRDefault="00D61F7B" w:rsidP="00D61F7B">
      <w:pPr>
        <w:jc w:val="both"/>
        <w:rPr>
          <w:rFonts w:ascii="Times New Roman" w:hAnsi="Times New Roman" w:cs="Times New Roman"/>
          <w:b/>
          <w:sz w:val="24"/>
          <w:szCs w:val="24"/>
        </w:rPr>
      </w:pPr>
      <w:r>
        <w:rPr>
          <w:rFonts w:ascii="Times New Roman" w:hAnsi="Times New Roman"/>
          <w:b/>
        </w:rPr>
        <w:t>Tabela A.1: Mechanizmy zmniejszonego wymiaru czasu pracy</w:t>
      </w:r>
      <w:r w:rsidR="00A467B6">
        <w:rPr>
          <w:rFonts w:ascii="Times New Roman" w:hAnsi="Times New Roman"/>
          <w:b/>
        </w:rPr>
        <w:t xml:space="preserve"> i pod</w:t>
      </w:r>
      <w:r>
        <w:rPr>
          <w:rFonts w:ascii="Times New Roman" w:hAnsi="Times New Roman"/>
          <w:b/>
        </w:rPr>
        <w:t>obne środki</w:t>
      </w:r>
      <w:r w:rsidR="00A467B6">
        <w:rPr>
          <w:rFonts w:ascii="Times New Roman" w:hAnsi="Times New Roman"/>
          <w:b/>
        </w:rPr>
        <w:t xml:space="preserve"> w pod</w:t>
      </w:r>
      <w:r>
        <w:rPr>
          <w:rFonts w:ascii="Times New Roman" w:hAnsi="Times New Roman"/>
          <w:b/>
        </w:rPr>
        <w:t>ziale na państwa członkowskie</w:t>
      </w:r>
    </w:p>
    <w:tbl>
      <w:tblPr>
        <w:tblW w:w="5164" w:type="pct"/>
        <w:tblLayout w:type="fixed"/>
        <w:tblLook w:val="04A0" w:firstRow="1" w:lastRow="0" w:firstColumn="1" w:lastColumn="0" w:noHBand="0" w:noVBand="1"/>
      </w:tblPr>
      <w:tblGrid>
        <w:gridCol w:w="1102"/>
        <w:gridCol w:w="1603"/>
        <w:gridCol w:w="1799"/>
        <w:gridCol w:w="2267"/>
        <w:gridCol w:w="1342"/>
        <w:gridCol w:w="11"/>
        <w:gridCol w:w="1908"/>
        <w:gridCol w:w="1780"/>
        <w:gridCol w:w="1777"/>
        <w:gridCol w:w="19"/>
      </w:tblGrid>
      <w:tr w:rsidR="00D61F7B" w:rsidRPr="0044230C" w14:paraId="3A9196CC" w14:textId="77777777" w:rsidTr="00661387">
        <w:trPr>
          <w:trHeight w:hRule="exact" w:val="1130"/>
          <w:tblHeader/>
        </w:trPr>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7E26F"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Państwo</w:t>
            </w:r>
          </w:p>
        </w:tc>
        <w:tc>
          <w:tcPr>
            <w:tcW w:w="2580"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59F6B0D6" w14:textId="77777777"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Mechanizmy zmniejszonego wymiaru czasu pracy</w:t>
            </w:r>
          </w:p>
        </w:tc>
        <w:tc>
          <w:tcPr>
            <w:tcW w:w="2015"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67EAECF6" w14:textId="2EEE59EE" w:rsidR="00D61F7B" w:rsidRPr="009D29AB" w:rsidRDefault="00D61F7B" w:rsidP="00D61F7B">
            <w:pPr>
              <w:spacing w:after="0"/>
              <w:jc w:val="center"/>
              <w:rPr>
                <w:rFonts w:ascii="Times New Roman" w:hAnsi="Times New Roman" w:cs="Times New Roman"/>
                <w:b/>
                <w:bCs/>
                <w:color w:val="000000"/>
              </w:rPr>
            </w:pPr>
            <w:r>
              <w:rPr>
                <w:rFonts w:ascii="Times New Roman" w:hAnsi="Times New Roman"/>
                <w:b/>
                <w:bCs/>
                <w:color w:val="000000"/>
              </w:rPr>
              <w:t>Mechanizmy podobne do zmniejszonego wymiaru czasu pracy</w:t>
            </w:r>
            <w:r>
              <w:rPr>
                <w:rFonts w:ascii="Times New Roman" w:hAnsi="Times New Roman"/>
                <w:color w:val="000000"/>
              </w:rPr>
              <w:t xml:space="preserve"> (daty przyjęcia aktów prawnych,</w:t>
            </w:r>
            <w:r w:rsidR="00A467B6">
              <w:rPr>
                <w:rFonts w:ascii="Times New Roman" w:hAnsi="Times New Roman"/>
                <w:color w:val="000000"/>
              </w:rPr>
              <w:t xml:space="preserve"> o ile</w:t>
            </w:r>
            <w:r>
              <w:rPr>
                <w:rFonts w:ascii="Times New Roman" w:hAnsi="Times New Roman"/>
                <w:color w:val="000000"/>
              </w:rPr>
              <w:t xml:space="preserve"> są dostępne, na podstawie wniosków</w:t>
            </w:r>
            <w:r w:rsidR="00A467B6">
              <w:rPr>
                <w:rFonts w:ascii="Times New Roman" w:hAnsi="Times New Roman"/>
                <w:color w:val="000000"/>
              </w:rPr>
              <w:t xml:space="preserve"> o prz</w:t>
            </w:r>
            <w:r>
              <w:rPr>
                <w:rFonts w:ascii="Times New Roman" w:hAnsi="Times New Roman"/>
                <w:color w:val="000000"/>
              </w:rPr>
              <w:t>yznanie wsparcia</w:t>
            </w:r>
            <w:r w:rsidR="00A467B6">
              <w:rPr>
                <w:rFonts w:ascii="Times New Roman" w:hAnsi="Times New Roman"/>
                <w:color w:val="000000"/>
              </w:rPr>
              <w:t xml:space="preserve"> w ram</w:t>
            </w:r>
            <w:r>
              <w:rPr>
                <w:rFonts w:ascii="Times New Roman" w:hAnsi="Times New Roman"/>
                <w:color w:val="000000"/>
              </w:rPr>
              <w:t>ach SURE)</w:t>
            </w:r>
          </w:p>
        </w:tc>
      </w:tr>
      <w:tr w:rsidR="00661387" w:rsidRPr="009D29AB" w14:paraId="54667360" w14:textId="77777777" w:rsidTr="00661387">
        <w:trPr>
          <w:gridAfter w:val="1"/>
          <w:wAfter w:w="8" w:type="pct"/>
          <w:trHeight w:val="290"/>
          <w:tblHeader/>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7E52EC7E" w14:textId="77777777" w:rsidR="00D61F7B" w:rsidRPr="009D29AB" w:rsidRDefault="00D61F7B" w:rsidP="00D61F7B">
            <w:pPr>
              <w:spacing w:after="0"/>
              <w:rPr>
                <w:rFonts w:ascii="Times New Roman" w:hAnsi="Times New Roman" w:cs="Times New Roman"/>
                <w:color w:val="000000"/>
              </w:rPr>
            </w:pPr>
            <w:r>
              <w:rPr>
                <w:rFonts w:ascii="Times New Roman" w:hAnsi="Times New Roman"/>
                <w:color w:val="000000"/>
              </w:rPr>
              <w:t xml:space="preserve"> </w:t>
            </w:r>
          </w:p>
        </w:tc>
        <w:tc>
          <w:tcPr>
            <w:tcW w:w="589" w:type="pct"/>
            <w:tcBorders>
              <w:top w:val="nil"/>
              <w:left w:val="nil"/>
              <w:bottom w:val="single" w:sz="4" w:space="0" w:color="auto"/>
              <w:right w:val="single" w:sz="4" w:space="0" w:color="auto"/>
            </w:tcBorders>
            <w:shd w:val="clear" w:color="auto" w:fill="auto"/>
            <w:noWrap/>
            <w:hideMark/>
          </w:tcPr>
          <w:p w14:paraId="4E479C8D"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Nowe lub istniejące mechanizmy</w:t>
            </w:r>
          </w:p>
        </w:tc>
        <w:tc>
          <w:tcPr>
            <w:tcW w:w="661" w:type="pct"/>
            <w:tcBorders>
              <w:top w:val="nil"/>
              <w:left w:val="nil"/>
              <w:bottom w:val="single" w:sz="4" w:space="0" w:color="auto"/>
              <w:right w:val="single" w:sz="4" w:space="0" w:color="auto"/>
            </w:tcBorders>
            <w:shd w:val="clear" w:color="auto" w:fill="auto"/>
            <w:noWrap/>
            <w:hideMark/>
          </w:tcPr>
          <w:p w14:paraId="2C4DB3F3"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Daty przyjęcia aktów prawnych</w:t>
            </w:r>
          </w:p>
        </w:tc>
        <w:tc>
          <w:tcPr>
            <w:tcW w:w="833" w:type="pct"/>
            <w:tcBorders>
              <w:top w:val="nil"/>
              <w:left w:val="nil"/>
              <w:bottom w:val="single" w:sz="4" w:space="0" w:color="auto"/>
              <w:right w:val="single" w:sz="4" w:space="0" w:color="auto"/>
            </w:tcBorders>
            <w:shd w:val="clear" w:color="auto" w:fill="auto"/>
            <w:noWrap/>
            <w:hideMark/>
          </w:tcPr>
          <w:p w14:paraId="3BFD4C3E"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Nazwa</w:t>
            </w:r>
          </w:p>
        </w:tc>
        <w:tc>
          <w:tcPr>
            <w:tcW w:w="493" w:type="pct"/>
            <w:tcBorders>
              <w:top w:val="nil"/>
              <w:left w:val="nil"/>
              <w:bottom w:val="nil"/>
              <w:right w:val="single" w:sz="4" w:space="0" w:color="auto"/>
            </w:tcBorders>
            <w:shd w:val="clear" w:color="auto" w:fill="auto"/>
            <w:noWrap/>
            <w:hideMark/>
          </w:tcPr>
          <w:p w14:paraId="7F62ADA0"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Rodzaj mechanizmu</w:t>
            </w:r>
          </w:p>
        </w:tc>
        <w:tc>
          <w:tcPr>
            <w:tcW w:w="705" w:type="pct"/>
            <w:gridSpan w:val="2"/>
            <w:tcBorders>
              <w:top w:val="nil"/>
              <w:left w:val="nil"/>
              <w:bottom w:val="single" w:sz="4" w:space="0" w:color="auto"/>
              <w:right w:val="single" w:sz="4" w:space="0" w:color="auto"/>
            </w:tcBorders>
            <w:shd w:val="clear" w:color="auto" w:fill="auto"/>
            <w:noWrap/>
            <w:hideMark/>
          </w:tcPr>
          <w:p w14:paraId="07ABE1CB"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Dla osób samozatrudnionych</w:t>
            </w:r>
          </w:p>
        </w:tc>
        <w:tc>
          <w:tcPr>
            <w:tcW w:w="654" w:type="pct"/>
            <w:tcBorders>
              <w:top w:val="nil"/>
              <w:left w:val="nil"/>
              <w:bottom w:val="single" w:sz="4" w:space="0" w:color="auto"/>
              <w:right w:val="single" w:sz="4" w:space="0" w:color="auto"/>
            </w:tcBorders>
            <w:shd w:val="clear" w:color="auto" w:fill="auto"/>
            <w:noWrap/>
            <w:hideMark/>
          </w:tcPr>
          <w:p w14:paraId="6801D63A" w14:textId="77777777" w:rsidR="00D61F7B" w:rsidRPr="009D29AB" w:rsidRDefault="00D61F7B" w:rsidP="00D61F7B">
            <w:pPr>
              <w:spacing w:after="0"/>
              <w:jc w:val="center"/>
              <w:rPr>
                <w:rFonts w:ascii="Times New Roman" w:hAnsi="Times New Roman" w:cs="Times New Roman"/>
                <w:b/>
                <w:color w:val="000000"/>
                <w:sz w:val="20"/>
                <w:szCs w:val="20"/>
              </w:rPr>
            </w:pPr>
            <w:r>
              <w:rPr>
                <w:rFonts w:ascii="Times New Roman" w:hAnsi="Times New Roman"/>
                <w:b/>
                <w:color w:val="000000"/>
                <w:sz w:val="20"/>
                <w:szCs w:val="20"/>
              </w:rPr>
              <w:t>Wsparcie na pokrycie kosztów pracy</w:t>
            </w:r>
          </w:p>
        </w:tc>
        <w:tc>
          <w:tcPr>
            <w:tcW w:w="653" w:type="pct"/>
            <w:tcBorders>
              <w:top w:val="nil"/>
              <w:left w:val="nil"/>
              <w:bottom w:val="single" w:sz="4" w:space="0" w:color="auto"/>
              <w:right w:val="single" w:sz="4" w:space="0" w:color="auto"/>
            </w:tcBorders>
            <w:shd w:val="clear" w:color="auto" w:fill="auto"/>
            <w:noWrap/>
            <w:hideMark/>
          </w:tcPr>
          <w:p w14:paraId="298452BA" w14:textId="77777777" w:rsidR="00D61F7B" w:rsidRPr="009D29AB" w:rsidRDefault="00D61F7B" w:rsidP="00D61F7B">
            <w:pPr>
              <w:spacing w:after="0"/>
              <w:jc w:val="center"/>
              <w:rPr>
                <w:rFonts w:ascii="Times New Roman" w:hAnsi="Times New Roman" w:cs="Times New Roman"/>
                <w:b/>
                <w:color w:val="000000" w:themeColor="text1"/>
                <w:sz w:val="20"/>
                <w:szCs w:val="20"/>
              </w:rPr>
            </w:pPr>
            <w:r>
              <w:rPr>
                <w:rFonts w:ascii="Times New Roman" w:hAnsi="Times New Roman"/>
                <w:b/>
                <w:color w:val="000000"/>
                <w:sz w:val="20"/>
                <w:szCs w:val="20"/>
              </w:rPr>
              <w:t>Ochrona pracowników</w:t>
            </w:r>
          </w:p>
        </w:tc>
      </w:tr>
      <w:tr w:rsidR="00661387" w:rsidRPr="009D29AB" w14:paraId="58CDA95C" w14:textId="77777777" w:rsidTr="00661387">
        <w:trPr>
          <w:gridAfter w:val="1"/>
          <w:wAfter w:w="8" w:type="pct"/>
          <w:trHeight w:hRule="exact" w:val="1643"/>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65007D"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BE</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32D0BAB7" w14:textId="111F3006"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Istniejący mechanizm rozszerzony</w:t>
            </w:r>
            <w:r w:rsidR="00661387">
              <w:rPr>
                <w:rFonts w:ascii="Times New Roman" w:hAnsi="Times New Roman"/>
                <w:color w:val="000000"/>
                <w:sz w:val="20"/>
                <w:szCs w:val="20"/>
              </w:rPr>
              <w:t xml:space="preserve"> </w:t>
            </w:r>
            <w:r>
              <w:rPr>
                <w:rFonts w:ascii="Times New Roman" w:hAnsi="Times New Roman"/>
                <w:color w:val="000000"/>
                <w:sz w:val="20"/>
                <w:szCs w:val="20"/>
              </w:rPr>
              <w:t>/</w:t>
            </w:r>
            <w:r w:rsidR="00661387">
              <w:rPr>
                <w:rFonts w:ascii="Times New Roman" w:hAnsi="Times New Roman"/>
                <w:color w:val="000000"/>
                <w:sz w:val="20"/>
                <w:szCs w:val="20"/>
              </w:rPr>
              <w:t xml:space="preserve"> </w:t>
            </w:r>
            <w:r>
              <w:rPr>
                <w:rFonts w:ascii="Times New Roman" w:hAnsi="Times New Roman"/>
                <w:color w:val="000000"/>
                <w:sz w:val="20"/>
                <w:szCs w:val="20"/>
              </w:rPr>
              <w:t>zmodyfikowany</w:t>
            </w:r>
            <w:r w:rsidR="00A467B6">
              <w:rPr>
                <w:rFonts w:ascii="Times New Roman" w:hAnsi="Times New Roman"/>
                <w:color w:val="000000"/>
                <w:sz w:val="20"/>
                <w:szCs w:val="20"/>
              </w:rPr>
              <w:t xml:space="preserve"> w zwi</w:t>
            </w:r>
            <w:r>
              <w:rPr>
                <w:rFonts w:ascii="Times New Roman" w:hAnsi="Times New Roman"/>
                <w:color w:val="000000"/>
                <w:sz w:val="20"/>
                <w:szCs w:val="20"/>
              </w:rPr>
              <w:t>ązku z COVID-19</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0C97C956" w14:textId="41C411AE"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3613AD54"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sz w:val="20"/>
                <w:szCs w:val="20"/>
              </w:rPr>
              <w:t>„Chômage temporaire/tijdelijke werkloosheid”</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ED352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Stały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461BDCA6" w14:textId="6EC519EB"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w:t>
            </w:r>
            <w:r w:rsidR="00A467B6">
              <w:rPr>
                <w:rFonts w:ascii="Times New Roman" w:hAnsi="Times New Roman"/>
                <w:color w:val="000000"/>
                <w:sz w:val="20"/>
                <w:szCs w:val="20"/>
              </w:rPr>
              <w:t xml:space="preserve"> i 2</w:t>
            </w:r>
            <w:r>
              <w:rPr>
                <w:rFonts w:ascii="Times New Roman" w:hAnsi="Times New Roman"/>
                <w:color w:val="000000"/>
                <w:sz w:val="20"/>
                <w:szCs w:val="20"/>
              </w:rPr>
              <w:t>3 marca, 6, 7</w:t>
            </w:r>
            <w:r w:rsidR="00A467B6">
              <w:rPr>
                <w:rFonts w:ascii="Times New Roman" w:hAnsi="Times New Roman"/>
                <w:color w:val="000000"/>
                <w:sz w:val="20"/>
                <w:szCs w:val="20"/>
              </w:rPr>
              <w:t xml:space="preserve"> i 1</w:t>
            </w:r>
            <w:r>
              <w:rPr>
                <w:rFonts w:ascii="Times New Roman" w:hAnsi="Times New Roman"/>
                <w:color w:val="000000"/>
                <w:sz w:val="20"/>
                <w:szCs w:val="20"/>
              </w:rPr>
              <w:t>0 kwietnia, 12 czerwca, 20 lipca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35ECA5D8" w14:textId="408559BE"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kwietnia, 14 maja, 19 czerwca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52A32BA1" w14:textId="1FFAE17B"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7 kwietnia, 13 maja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r>
      <w:tr w:rsidR="00661387" w:rsidRPr="009D29AB" w14:paraId="60E50081"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E7218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BG</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11FD78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Nowy mechanizm</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4401E5A2" w14:textId="6338D983" w:rsidR="00D61F7B" w:rsidRPr="009D29AB" w:rsidRDefault="00D61F7B" w:rsidP="00661387">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marca (akt pierwotny)</w:t>
            </w:r>
            <w:r w:rsidR="00A467B6">
              <w:rPr>
                <w:rFonts w:ascii="Times New Roman" w:hAnsi="Times New Roman"/>
                <w:color w:val="000000"/>
                <w:sz w:val="20"/>
                <w:szCs w:val="20"/>
              </w:rPr>
              <w:t xml:space="preserve"> i 2</w:t>
            </w:r>
            <w:r>
              <w:rPr>
                <w:rFonts w:ascii="Times New Roman" w:hAnsi="Times New Roman"/>
                <w:color w:val="000000"/>
                <w:sz w:val="20"/>
                <w:szCs w:val="20"/>
              </w:rPr>
              <w:t xml:space="preserve"> lipca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xml:space="preserve"> </w:t>
            </w:r>
            <w:r w:rsidR="00661387">
              <w:rPr>
                <w:rFonts w:ascii="Times New Roman" w:hAnsi="Times New Roman"/>
                <w:color w:val="000000"/>
                <w:sz w:val="20"/>
                <w:szCs w:val="20"/>
              </w:rPr>
              <w:t>(</w:t>
            </w:r>
            <w:r>
              <w:rPr>
                <w:rFonts w:ascii="Times New Roman" w:hAnsi="Times New Roman"/>
                <w:color w:val="000000"/>
                <w:sz w:val="20"/>
                <w:szCs w:val="20"/>
              </w:rPr>
              <w:t>przedłużenie)</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17D3513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Mechanizm 60–40</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20E085C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6077E28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72393AD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18932AFE"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661387" w:rsidRPr="009D29AB" w14:paraId="01231185"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513179"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CY</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61E3DC4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Nowe mechanizmy</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7D866A2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(data niedostępna)</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28A35C9F" w14:textId="65BA04DF"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Mechanizm wspierający przedsiębiorstwa</w:t>
            </w:r>
            <w:r w:rsidR="00A467B6">
              <w:rPr>
                <w:rFonts w:ascii="Times New Roman" w:hAnsi="Times New Roman"/>
                <w:color w:val="000000"/>
                <w:sz w:val="20"/>
                <w:szCs w:val="20"/>
              </w:rPr>
              <w:t xml:space="preserve"> w zak</w:t>
            </w:r>
            <w:r>
              <w:rPr>
                <w:rFonts w:ascii="Times New Roman" w:hAnsi="Times New Roman"/>
                <w:color w:val="000000"/>
                <w:sz w:val="20"/>
                <w:szCs w:val="20"/>
              </w:rPr>
              <w:t>resie całkowitego zawieszenia działalności, mechanizm wspierający przedsiębiorstwa</w:t>
            </w:r>
            <w:r w:rsidR="00A467B6">
              <w:rPr>
                <w:rFonts w:ascii="Times New Roman" w:hAnsi="Times New Roman"/>
                <w:color w:val="000000"/>
                <w:sz w:val="20"/>
                <w:szCs w:val="20"/>
              </w:rPr>
              <w:t xml:space="preserve"> w zak</w:t>
            </w:r>
            <w:r>
              <w:rPr>
                <w:rFonts w:ascii="Times New Roman" w:hAnsi="Times New Roman"/>
                <w:color w:val="000000"/>
                <w:sz w:val="20"/>
                <w:szCs w:val="20"/>
              </w:rPr>
              <w:t>resie częściowego zawieszenia działalności</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1E24FC6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0BF2ED0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Tak (data niedostępna)</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017D076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Tak (data niedostępna)</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3492DC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Tak (data niedostępna)</w:t>
            </w:r>
          </w:p>
        </w:tc>
      </w:tr>
      <w:tr w:rsidR="00661387" w:rsidRPr="009D29AB" w14:paraId="6DFCDE62" w14:textId="77777777" w:rsidTr="00661387">
        <w:trPr>
          <w:gridAfter w:val="1"/>
          <w:wAfter w:w="8" w:type="pct"/>
          <w:trHeight w:val="290"/>
        </w:trPr>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3DE91"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CZ</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5E2832"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Nowy mechanizm</w:t>
            </w:r>
          </w:p>
        </w:tc>
        <w:tc>
          <w:tcPr>
            <w:tcW w:w="6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238E6C0" w14:textId="63B8050A"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F90C6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Program antywirusowy – warianty A i B</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5D64D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5F1ACE0" w14:textId="3F6E500B"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19, 26</w:t>
            </w:r>
            <w:r w:rsidR="00A467B6">
              <w:rPr>
                <w:rFonts w:ascii="Times New Roman" w:hAnsi="Times New Roman"/>
                <w:color w:val="000000"/>
                <w:sz w:val="20"/>
                <w:szCs w:val="20"/>
              </w:rPr>
              <w:t xml:space="preserve"> i 3</w:t>
            </w:r>
            <w:r>
              <w:rPr>
                <w:rFonts w:ascii="Times New Roman" w:hAnsi="Times New Roman"/>
                <w:color w:val="000000"/>
                <w:sz w:val="20"/>
                <w:szCs w:val="20"/>
              </w:rPr>
              <w:t>1 marca, 9 kwietnia, 4</w:t>
            </w:r>
            <w:r w:rsidR="00A467B6">
              <w:rPr>
                <w:rFonts w:ascii="Times New Roman" w:hAnsi="Times New Roman"/>
                <w:color w:val="000000"/>
                <w:sz w:val="20"/>
                <w:szCs w:val="20"/>
              </w:rPr>
              <w:t xml:space="preserve"> i 1</w:t>
            </w:r>
            <w:r>
              <w:rPr>
                <w:rFonts w:ascii="Times New Roman" w:hAnsi="Times New Roman"/>
                <w:color w:val="000000"/>
                <w:sz w:val="20"/>
                <w:szCs w:val="20"/>
              </w:rPr>
              <w:t>8 maja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xml:space="preserve"> </w:t>
            </w:r>
          </w:p>
        </w:tc>
        <w:tc>
          <w:tcPr>
            <w:tcW w:w="654"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81C619" w14:textId="2775203A"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8 czerwca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9973D0"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661387" w:rsidRPr="009D29AB" w14:paraId="34C756EA" w14:textId="77777777" w:rsidTr="00661387">
        <w:trPr>
          <w:gridAfter w:val="1"/>
          <w:wAfter w:w="8" w:type="pct"/>
          <w:trHeight w:val="290"/>
        </w:trPr>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C3E0E"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EL</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55AA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Nowe mechanizmy</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43A204" w14:textId="40E6A09A"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14 czerwca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B5C21" w14:textId="53D41CCD"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„Synergasia” – mechanizm zmniejszonego wymiaru czasu pracy; specjalne świadczenie dla pracowników, których umowy</w:t>
            </w:r>
            <w:r w:rsidR="00A467B6">
              <w:rPr>
                <w:rFonts w:ascii="Times New Roman" w:hAnsi="Times New Roman"/>
                <w:color w:val="000000"/>
                <w:sz w:val="20"/>
                <w:szCs w:val="20"/>
              </w:rPr>
              <w:t xml:space="preserve"> o pra</w:t>
            </w:r>
            <w:r>
              <w:rPr>
                <w:rFonts w:ascii="Times New Roman" w:hAnsi="Times New Roman"/>
                <w:color w:val="000000"/>
                <w:sz w:val="20"/>
                <w:szCs w:val="20"/>
              </w:rPr>
              <w:t>cę zostały zawieszone</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A2E5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F821E" w14:textId="67D88FD3"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20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F5E37" w14:textId="32983115"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14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E28FD"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661387" w:rsidRPr="009D29AB" w14:paraId="55232831" w14:textId="77777777" w:rsidTr="00661387">
        <w:trPr>
          <w:gridAfter w:val="1"/>
          <w:wAfter w:w="8" w:type="pct"/>
          <w:trHeight w:val="780"/>
        </w:trPr>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E232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ES</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776855" w14:textId="7A6892C0"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Istniejący mechanizm rozszerzony</w:t>
            </w:r>
            <w:r w:rsidR="00661387">
              <w:rPr>
                <w:rFonts w:ascii="Times New Roman" w:hAnsi="Times New Roman"/>
                <w:color w:val="000000"/>
                <w:sz w:val="20"/>
                <w:szCs w:val="20"/>
              </w:rPr>
              <w:t xml:space="preserve"> </w:t>
            </w:r>
            <w:r>
              <w:rPr>
                <w:rFonts w:ascii="Times New Roman" w:hAnsi="Times New Roman"/>
                <w:color w:val="000000"/>
                <w:sz w:val="20"/>
                <w:szCs w:val="20"/>
              </w:rPr>
              <w:t>/</w:t>
            </w:r>
            <w:r w:rsidR="00661387">
              <w:rPr>
                <w:rFonts w:ascii="Times New Roman" w:hAnsi="Times New Roman"/>
                <w:color w:val="000000"/>
                <w:sz w:val="20"/>
                <w:szCs w:val="20"/>
              </w:rPr>
              <w:t xml:space="preserve"> </w:t>
            </w:r>
            <w:r>
              <w:rPr>
                <w:rFonts w:ascii="Times New Roman" w:hAnsi="Times New Roman"/>
                <w:color w:val="000000"/>
                <w:sz w:val="20"/>
                <w:szCs w:val="20"/>
              </w:rPr>
              <w:t>zmodyfikowany</w:t>
            </w:r>
            <w:r w:rsidR="00A467B6">
              <w:rPr>
                <w:rFonts w:ascii="Times New Roman" w:hAnsi="Times New Roman"/>
                <w:color w:val="000000"/>
                <w:sz w:val="20"/>
                <w:szCs w:val="20"/>
              </w:rPr>
              <w:t xml:space="preserve"> w zwi</w:t>
            </w:r>
            <w:r>
              <w:rPr>
                <w:rFonts w:ascii="Times New Roman" w:hAnsi="Times New Roman"/>
                <w:color w:val="000000"/>
                <w:sz w:val="20"/>
                <w:szCs w:val="20"/>
              </w:rPr>
              <w:t>ązku z COVID-19</w:t>
            </w:r>
          </w:p>
        </w:tc>
        <w:tc>
          <w:tcPr>
            <w:tcW w:w="66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EA648F" w14:textId="7046995F"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marca, 12 maja, 26 czerwca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0C06E" w14:textId="77777777" w:rsidR="00D61F7B" w:rsidRPr="000C43EC" w:rsidRDefault="00D61F7B" w:rsidP="00D61F7B">
            <w:pPr>
              <w:spacing w:after="0"/>
              <w:rPr>
                <w:rFonts w:ascii="Times New Roman" w:hAnsi="Times New Roman" w:cs="Times New Roman"/>
                <w:color w:val="000000" w:themeColor="text1"/>
                <w:sz w:val="20"/>
                <w:szCs w:val="20"/>
                <w:lang w:val="en-US"/>
              </w:rPr>
            </w:pPr>
            <w:r w:rsidRPr="000C43EC">
              <w:rPr>
                <w:rFonts w:ascii="Times New Roman" w:hAnsi="Times New Roman"/>
                <w:color w:val="000000"/>
                <w:sz w:val="20"/>
                <w:szCs w:val="20"/>
                <w:lang w:val="en-US"/>
              </w:rPr>
              <w:t>„Expediente de Regulación Temporal de Empleo”</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306D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Stały</w:t>
            </w: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94503" w14:textId="6C0D6E96"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marca, 31 marca, 26 czerwca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4"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C949D8" w14:textId="6698EB7F"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12</w:t>
            </w:r>
            <w:r w:rsidR="00A467B6">
              <w:rPr>
                <w:rFonts w:ascii="Times New Roman" w:hAnsi="Times New Roman"/>
                <w:color w:val="000000"/>
                <w:sz w:val="20"/>
                <w:szCs w:val="20"/>
              </w:rPr>
              <w:t xml:space="preserve"> i 1</w:t>
            </w:r>
            <w:r>
              <w:rPr>
                <w:rFonts w:ascii="Times New Roman" w:hAnsi="Times New Roman"/>
                <w:color w:val="000000"/>
                <w:sz w:val="20"/>
                <w:szCs w:val="20"/>
              </w:rPr>
              <w:t>7 marca, 21 kwietnia, 12 maja, 26 czerwca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B22E7C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661387" w:rsidRPr="009D29AB" w14:paraId="50351E10"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C9CAA6"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HR</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18701CE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Nowe mechanizmy</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201147D2" w14:textId="7466980F"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30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sidR="00A467B6">
              <w:rPr>
                <w:rFonts w:ascii="Times New Roman" w:hAnsi="Times New Roman"/>
                <w:color w:val="000000"/>
                <w:sz w:val="20"/>
                <w:szCs w:val="20"/>
              </w:rPr>
              <w:t xml:space="preserve"> i kon</w:t>
            </w:r>
            <w:r>
              <w:rPr>
                <w:rFonts w:ascii="Times New Roman" w:hAnsi="Times New Roman"/>
                <w:color w:val="000000"/>
                <w:sz w:val="20"/>
                <w:szCs w:val="20"/>
              </w:rPr>
              <w:t>tynuacja zatwierdzona</w:t>
            </w:r>
            <w:r w:rsidR="00A467B6">
              <w:rPr>
                <w:rFonts w:ascii="Times New Roman" w:hAnsi="Times New Roman"/>
                <w:color w:val="000000"/>
                <w:sz w:val="20"/>
                <w:szCs w:val="20"/>
              </w:rPr>
              <w:t xml:space="preserve"> w 2</w:t>
            </w:r>
            <w:r>
              <w:rPr>
                <w:rFonts w:ascii="Times New Roman" w:hAnsi="Times New Roman"/>
                <w:color w:val="000000"/>
                <w:sz w:val="20"/>
                <w:szCs w:val="20"/>
              </w:rPr>
              <w:t>. półroczu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FD19D5" w14:textId="76FDE2BE"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Dofinansowanie na utrzymanie zatrudnienia</w:t>
            </w:r>
            <w:r w:rsidR="00A467B6">
              <w:rPr>
                <w:rFonts w:ascii="Times New Roman" w:hAnsi="Times New Roman"/>
                <w:color w:val="000000"/>
                <w:sz w:val="20"/>
                <w:szCs w:val="20"/>
              </w:rPr>
              <w:t xml:space="preserve"> w sek</w:t>
            </w:r>
            <w:r>
              <w:rPr>
                <w:rFonts w:ascii="Times New Roman" w:hAnsi="Times New Roman"/>
                <w:color w:val="000000"/>
                <w:sz w:val="20"/>
                <w:szCs w:val="20"/>
              </w:rPr>
              <w:t>torach dotkniętych COVID-19; pomoc</w:t>
            </w:r>
            <w:r w:rsidR="00A467B6">
              <w:rPr>
                <w:rFonts w:ascii="Times New Roman" w:hAnsi="Times New Roman"/>
                <w:color w:val="000000"/>
                <w:sz w:val="20"/>
                <w:szCs w:val="20"/>
              </w:rPr>
              <w:t xml:space="preserve"> w zwi</w:t>
            </w:r>
            <w:r>
              <w:rPr>
                <w:rFonts w:ascii="Times New Roman" w:hAnsi="Times New Roman"/>
                <w:color w:val="000000"/>
                <w:sz w:val="20"/>
                <w:szCs w:val="20"/>
              </w:rPr>
              <w:t>ązku ze skróconym czasem pracy</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D4D25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00969599"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2BF5CC66"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0FAF3947" w14:textId="77777777" w:rsidR="00D61F7B" w:rsidRPr="009D29AB" w:rsidRDefault="00D61F7B" w:rsidP="00D61F7B">
            <w:pPr>
              <w:numPr>
                <w:ilvl w:val="0"/>
                <w:numId w:val="19"/>
              </w:numPr>
              <w:spacing w:after="0" w:line="240" w:lineRule="auto"/>
              <w:contextualSpacing/>
              <w:rPr>
                <w:rFonts w:ascii="Times New Roman" w:eastAsia="Times New Roman" w:hAnsi="Times New Roman" w:cs="Times New Roman"/>
                <w:color w:val="000000"/>
                <w:sz w:val="20"/>
                <w:szCs w:val="20"/>
                <w:lang w:val="en-GB" w:eastAsia="en-GB"/>
              </w:rPr>
            </w:pPr>
          </w:p>
        </w:tc>
      </w:tr>
      <w:tr w:rsidR="00661387" w:rsidRPr="009D29AB" w14:paraId="026AFA06"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CF360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HU</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48585D0B" w14:textId="41877B54"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Nowy mechanizm (objęty wsparciem</w:t>
            </w:r>
            <w:r w:rsidR="00A467B6">
              <w:rPr>
                <w:rFonts w:ascii="Times New Roman" w:hAnsi="Times New Roman"/>
                <w:color w:val="000000"/>
                <w:sz w:val="20"/>
                <w:szCs w:val="20"/>
              </w:rPr>
              <w:t xml:space="preserve"> w ram</w:t>
            </w:r>
            <w:r>
              <w:rPr>
                <w:rFonts w:ascii="Times New Roman" w:hAnsi="Times New Roman"/>
                <w:color w:val="000000"/>
                <w:sz w:val="20"/>
                <w:szCs w:val="20"/>
              </w:rPr>
              <w:t>ach EFS, niekwalifikujący się do wsparcia</w:t>
            </w:r>
            <w:r w:rsidR="00A467B6">
              <w:rPr>
                <w:rFonts w:ascii="Times New Roman" w:hAnsi="Times New Roman"/>
                <w:color w:val="000000"/>
                <w:sz w:val="20"/>
                <w:szCs w:val="20"/>
              </w:rPr>
              <w:t xml:space="preserve"> w ram</w:t>
            </w:r>
            <w:r>
              <w:rPr>
                <w:rFonts w:ascii="Times New Roman" w:hAnsi="Times New Roman"/>
                <w:color w:val="000000"/>
                <w:sz w:val="20"/>
                <w:szCs w:val="20"/>
              </w:rPr>
              <w:t>ach SURE)</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00F6592C" w14:textId="5A1AD4AC"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10 kwietnia, 17 czerwca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05C7AF3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Mechanizm zmniejszonego wymiaru czasu pracy</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5899E7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23422F7B"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xml:space="preserve">13 maja, 22 czerwca </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3D245408" w14:textId="01BBD07D"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w:t>
            </w:r>
            <w:r w:rsidR="00A467B6">
              <w:rPr>
                <w:rFonts w:ascii="Times New Roman" w:hAnsi="Times New Roman"/>
                <w:color w:val="000000"/>
                <w:sz w:val="20"/>
                <w:szCs w:val="20"/>
              </w:rPr>
              <w:t xml:space="preserve"> i 2</w:t>
            </w:r>
            <w:r>
              <w:rPr>
                <w:rFonts w:ascii="Times New Roman" w:hAnsi="Times New Roman"/>
                <w:color w:val="000000"/>
                <w:sz w:val="20"/>
                <w:szCs w:val="20"/>
              </w:rPr>
              <w:t>3 marca</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35B8824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23 marca</w:t>
            </w:r>
          </w:p>
        </w:tc>
      </w:tr>
      <w:tr w:rsidR="00661387" w:rsidRPr="009D29AB" w14:paraId="209C9BB0"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0660F0"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IE</w:t>
            </w:r>
          </w:p>
        </w:tc>
        <w:tc>
          <w:tcPr>
            <w:tcW w:w="589" w:type="pct"/>
            <w:tcBorders>
              <w:top w:val="nil"/>
              <w:left w:val="nil"/>
              <w:bottom w:val="single" w:sz="4" w:space="0" w:color="auto"/>
              <w:right w:val="single" w:sz="4" w:space="0" w:color="auto"/>
            </w:tcBorders>
            <w:shd w:val="clear" w:color="auto" w:fill="FFFFFF" w:themeFill="background1"/>
            <w:vAlign w:val="center"/>
          </w:tcPr>
          <w:p w14:paraId="58C1D03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Istniejący mechanizm</w:t>
            </w:r>
          </w:p>
        </w:tc>
        <w:tc>
          <w:tcPr>
            <w:tcW w:w="661" w:type="pct"/>
            <w:tcBorders>
              <w:top w:val="nil"/>
              <w:left w:val="nil"/>
              <w:bottom w:val="single" w:sz="4" w:space="0" w:color="auto"/>
              <w:right w:val="single" w:sz="4" w:space="0" w:color="auto"/>
            </w:tcBorders>
            <w:shd w:val="clear" w:color="auto" w:fill="FFFFFF" w:themeFill="background1"/>
            <w:vAlign w:val="center"/>
          </w:tcPr>
          <w:p w14:paraId="1E5D0C6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833" w:type="pct"/>
            <w:tcBorders>
              <w:top w:val="nil"/>
              <w:left w:val="nil"/>
              <w:bottom w:val="single" w:sz="4" w:space="0" w:color="auto"/>
              <w:right w:val="single" w:sz="4" w:space="0" w:color="auto"/>
            </w:tcBorders>
            <w:shd w:val="clear" w:color="auto" w:fill="FFFFFF" w:themeFill="background1"/>
            <w:vAlign w:val="center"/>
          </w:tcPr>
          <w:p w14:paraId="72B2412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Zasiłek dla osób poszukujących pracy (częściowy)</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3B7B798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Stały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0AF1CE3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7981DBB7" w14:textId="6C732176"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 program subsydiowania wynagrodzeń”, 26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05D6E85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r w:rsidR="00661387" w:rsidRPr="0044230C" w14:paraId="045C92E1" w14:textId="77777777" w:rsidTr="00661387">
        <w:trPr>
          <w:gridAfter w:val="1"/>
          <w:wAfter w:w="8" w:type="pct"/>
          <w:trHeight w:hRule="exact" w:val="1501"/>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0D845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IT</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289B7399" w14:textId="1C105C0E"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Istniejący mechanizm rozszerzony</w:t>
            </w:r>
            <w:r w:rsidR="00661387">
              <w:rPr>
                <w:rFonts w:ascii="Times New Roman" w:hAnsi="Times New Roman"/>
                <w:color w:val="000000"/>
                <w:sz w:val="20"/>
                <w:szCs w:val="20"/>
              </w:rPr>
              <w:t xml:space="preserve"> </w:t>
            </w:r>
            <w:r>
              <w:rPr>
                <w:rFonts w:ascii="Times New Roman" w:hAnsi="Times New Roman"/>
                <w:color w:val="000000"/>
                <w:sz w:val="20"/>
                <w:szCs w:val="20"/>
              </w:rPr>
              <w:t>/</w:t>
            </w:r>
            <w:r w:rsidR="00661387">
              <w:rPr>
                <w:rFonts w:ascii="Times New Roman" w:hAnsi="Times New Roman"/>
                <w:color w:val="000000"/>
                <w:sz w:val="20"/>
                <w:szCs w:val="20"/>
              </w:rPr>
              <w:t xml:space="preserve"> </w:t>
            </w:r>
            <w:r>
              <w:rPr>
                <w:rFonts w:ascii="Times New Roman" w:hAnsi="Times New Roman"/>
                <w:color w:val="000000"/>
                <w:sz w:val="20"/>
                <w:szCs w:val="20"/>
              </w:rPr>
              <w:t>zmodyfikowany</w:t>
            </w:r>
            <w:r w:rsidR="00A467B6">
              <w:rPr>
                <w:rFonts w:ascii="Times New Roman" w:hAnsi="Times New Roman"/>
                <w:color w:val="000000"/>
                <w:sz w:val="20"/>
                <w:szCs w:val="20"/>
              </w:rPr>
              <w:t xml:space="preserve"> w zwi</w:t>
            </w:r>
            <w:r>
              <w:rPr>
                <w:rFonts w:ascii="Times New Roman" w:hAnsi="Times New Roman"/>
                <w:color w:val="000000"/>
                <w:sz w:val="20"/>
                <w:szCs w:val="20"/>
              </w:rPr>
              <w:t>ązku z COVID-19</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6EAE7491" w14:textId="39E5BCEC"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19 maja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sidR="00A467B6">
              <w:rPr>
                <w:rFonts w:ascii="Times New Roman" w:hAnsi="Times New Roman"/>
                <w:color w:val="000000"/>
                <w:sz w:val="20"/>
                <w:szCs w:val="20"/>
              </w:rPr>
              <w:t xml:space="preserve"> i kol</w:t>
            </w:r>
            <w:r>
              <w:rPr>
                <w:rFonts w:ascii="Times New Roman" w:hAnsi="Times New Roman"/>
                <w:color w:val="000000"/>
                <w:sz w:val="20"/>
                <w:szCs w:val="20"/>
              </w:rPr>
              <w:t>ejne przedłużenia</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35BAE386" w14:textId="77777777" w:rsidR="00D61F7B" w:rsidRPr="009D29AB" w:rsidRDefault="00D61F7B" w:rsidP="00D61F7B">
            <w:pPr>
              <w:spacing w:after="0"/>
              <w:rPr>
                <w:rFonts w:ascii="Times New Roman" w:hAnsi="Times New Roman" w:cs="Times New Roman"/>
                <w:i/>
                <w:color w:val="000000"/>
                <w:sz w:val="20"/>
                <w:szCs w:val="20"/>
              </w:rPr>
            </w:pPr>
            <w:r>
              <w:rPr>
                <w:rFonts w:ascii="Times New Roman" w:hAnsi="Times New Roman"/>
                <w:color w:val="000000"/>
                <w:sz w:val="20"/>
                <w:szCs w:val="20"/>
              </w:rPr>
              <w:t>„Cassa integrazione guadagni”</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5DB7677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Stały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60092DA0" w14:textId="43428095"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17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19 maja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sidR="00A467B6">
              <w:rPr>
                <w:rFonts w:ascii="Times New Roman" w:hAnsi="Times New Roman"/>
                <w:color w:val="000000"/>
                <w:sz w:val="20"/>
                <w:szCs w:val="20"/>
              </w:rPr>
              <w:t xml:space="preserve"> i kol</w:t>
            </w:r>
            <w:r>
              <w:rPr>
                <w:rFonts w:ascii="Times New Roman" w:hAnsi="Times New Roman"/>
                <w:color w:val="000000"/>
                <w:sz w:val="20"/>
                <w:szCs w:val="20"/>
              </w:rPr>
              <w:t>ejne przedłużenia</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5B28347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30714479"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661387" w:rsidRPr="009D29AB" w14:paraId="177C0C23"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7B68B3"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LT</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0F6C864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Nowy mechanizm</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51671C64" w14:textId="461E5B9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19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7BB90BAE" w14:textId="179574C0"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Dopłata do wynagrodzeń</w:t>
            </w:r>
            <w:r w:rsidR="00A467B6">
              <w:rPr>
                <w:rFonts w:ascii="Times New Roman" w:hAnsi="Times New Roman"/>
                <w:color w:val="000000"/>
                <w:sz w:val="20"/>
                <w:szCs w:val="20"/>
              </w:rPr>
              <w:t xml:space="preserve"> w okr</w:t>
            </w:r>
            <w:r>
              <w:rPr>
                <w:rFonts w:ascii="Times New Roman" w:hAnsi="Times New Roman"/>
                <w:color w:val="000000"/>
                <w:sz w:val="20"/>
                <w:szCs w:val="20"/>
              </w:rPr>
              <w:t>esie przestoju</w:t>
            </w:r>
            <w:r w:rsidR="00A467B6">
              <w:rPr>
                <w:rFonts w:ascii="Times New Roman" w:hAnsi="Times New Roman"/>
                <w:color w:val="000000"/>
                <w:sz w:val="20"/>
                <w:szCs w:val="20"/>
              </w:rPr>
              <w:t xml:space="preserve"> w pra</w:t>
            </w:r>
            <w:r>
              <w:rPr>
                <w:rFonts w:ascii="Times New Roman" w:hAnsi="Times New Roman"/>
                <w:color w:val="000000"/>
                <w:sz w:val="20"/>
                <w:szCs w:val="20"/>
              </w:rPr>
              <w:t xml:space="preserve">cy </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05020CD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3AB487D3" w14:textId="6BAE0C4C"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19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1 sierpnia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3ACB8810" w14:textId="0C270F63"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15 maja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2D2FA28F"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661387" w:rsidRPr="009D29AB" w14:paraId="23D6EEEB"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0CEA596F"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LV</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1575AC14"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Nowy mechanizm</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5E5729F2" w14:textId="1DC1DAC0"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26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50F108F9" w14:textId="0B73C18C"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Rekompensata dla pracowników objętych przestojem</w:t>
            </w:r>
            <w:r w:rsidR="00A467B6">
              <w:rPr>
                <w:rFonts w:ascii="Times New Roman" w:hAnsi="Times New Roman"/>
                <w:color w:val="000000"/>
                <w:sz w:val="20"/>
                <w:szCs w:val="20"/>
              </w:rPr>
              <w:t xml:space="preserve"> w pra</w:t>
            </w:r>
            <w:r>
              <w:rPr>
                <w:rFonts w:ascii="Times New Roman" w:hAnsi="Times New Roman"/>
                <w:color w:val="000000"/>
                <w:sz w:val="20"/>
                <w:szCs w:val="20"/>
              </w:rPr>
              <w:t>cy</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49F20D0D"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65EB8855" w14:textId="4295FDFE"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31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17DA1234" w14:textId="511DF99D"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21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23F908E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xml:space="preserve"> </w:t>
            </w:r>
          </w:p>
        </w:tc>
      </w:tr>
      <w:tr w:rsidR="00661387" w:rsidRPr="009D29AB" w14:paraId="4DBCE83F"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9869E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MT</w:t>
            </w:r>
          </w:p>
        </w:tc>
        <w:tc>
          <w:tcPr>
            <w:tcW w:w="589" w:type="pct"/>
            <w:tcBorders>
              <w:top w:val="nil"/>
              <w:left w:val="nil"/>
              <w:bottom w:val="single" w:sz="4" w:space="0" w:color="auto"/>
              <w:right w:val="single" w:sz="4" w:space="0" w:color="auto"/>
            </w:tcBorders>
            <w:shd w:val="clear" w:color="auto" w:fill="FFFFFF" w:themeFill="background1"/>
            <w:vAlign w:val="center"/>
          </w:tcPr>
          <w:p w14:paraId="7D2406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61" w:type="pct"/>
            <w:tcBorders>
              <w:top w:val="nil"/>
              <w:left w:val="nil"/>
              <w:bottom w:val="single" w:sz="4" w:space="0" w:color="auto"/>
              <w:right w:val="single" w:sz="4" w:space="0" w:color="auto"/>
            </w:tcBorders>
            <w:shd w:val="clear" w:color="auto" w:fill="FFFFFF" w:themeFill="background1"/>
            <w:vAlign w:val="center"/>
          </w:tcPr>
          <w:p w14:paraId="6A27D905"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833" w:type="pct"/>
            <w:tcBorders>
              <w:top w:val="nil"/>
              <w:left w:val="nil"/>
              <w:bottom w:val="single" w:sz="4" w:space="0" w:color="auto"/>
              <w:right w:val="single" w:sz="4" w:space="0" w:color="auto"/>
            </w:tcBorders>
            <w:shd w:val="clear" w:color="auto" w:fill="FFFFFF" w:themeFill="background1"/>
            <w:vAlign w:val="center"/>
          </w:tcPr>
          <w:p w14:paraId="15BD9087"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493" w:type="pct"/>
            <w:tcBorders>
              <w:top w:val="nil"/>
              <w:left w:val="nil"/>
              <w:bottom w:val="single" w:sz="4" w:space="0" w:color="auto"/>
              <w:right w:val="single" w:sz="4" w:space="0" w:color="auto"/>
            </w:tcBorders>
            <w:shd w:val="clear" w:color="auto" w:fill="FFFFFF" w:themeFill="background1"/>
            <w:vAlign w:val="center"/>
          </w:tcPr>
          <w:p w14:paraId="245E3A40"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4DED6D5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28894089" w14:textId="75D7A5FC"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 „Tymczasowy program subsydiowania wynagrodzeń”, 13 kwietnia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347D80A4" w14:textId="5960B615"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25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r>
      <w:tr w:rsidR="00661387" w:rsidRPr="009D29AB" w14:paraId="3CF0AD1E"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269C77"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PL</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5B4D6A6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Nowy mechanizm</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43F8D8B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marca</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3C9E2398" w14:textId="731B6F14"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Dofinansowanie</w:t>
            </w:r>
            <w:r w:rsidR="00A467B6">
              <w:rPr>
                <w:rFonts w:ascii="Times New Roman" w:hAnsi="Times New Roman"/>
                <w:color w:val="000000"/>
                <w:sz w:val="20"/>
                <w:szCs w:val="20"/>
              </w:rPr>
              <w:t xml:space="preserve"> w zwi</w:t>
            </w:r>
            <w:r>
              <w:rPr>
                <w:rFonts w:ascii="Times New Roman" w:hAnsi="Times New Roman"/>
                <w:color w:val="000000"/>
                <w:sz w:val="20"/>
                <w:szCs w:val="20"/>
              </w:rPr>
              <w:t>ązku ze zmniejszonym wymiarem czasu pracy</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19C84C8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342C5D0A"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marca</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24FA107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 marca</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28576CAB"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661387" w:rsidRPr="0044230C" w14:paraId="62D40E20" w14:textId="77777777" w:rsidTr="00661387">
        <w:trPr>
          <w:gridAfter w:val="1"/>
          <w:wAfter w:w="8" w:type="pct"/>
          <w:trHeight w:hRule="exact" w:val="1838"/>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782E3F4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PT</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213F39ED" w14:textId="64D1D043"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Istniejący mechanizm (tymczasowo) rozszerzony</w:t>
            </w:r>
            <w:r w:rsidR="00661387">
              <w:rPr>
                <w:rFonts w:ascii="Times New Roman" w:hAnsi="Times New Roman"/>
                <w:color w:val="000000"/>
                <w:sz w:val="20"/>
                <w:szCs w:val="20"/>
              </w:rPr>
              <w:t xml:space="preserve"> </w:t>
            </w:r>
            <w:r>
              <w:rPr>
                <w:rFonts w:ascii="Times New Roman" w:hAnsi="Times New Roman"/>
                <w:color w:val="000000"/>
                <w:sz w:val="20"/>
                <w:szCs w:val="20"/>
              </w:rPr>
              <w:t>/</w:t>
            </w:r>
            <w:r w:rsidR="00661387">
              <w:rPr>
                <w:rFonts w:ascii="Times New Roman" w:hAnsi="Times New Roman"/>
                <w:color w:val="000000"/>
                <w:sz w:val="20"/>
                <w:szCs w:val="20"/>
              </w:rPr>
              <w:t xml:space="preserve"> </w:t>
            </w:r>
            <w:r>
              <w:rPr>
                <w:rFonts w:ascii="Times New Roman" w:hAnsi="Times New Roman"/>
                <w:color w:val="000000"/>
                <w:sz w:val="20"/>
                <w:szCs w:val="20"/>
              </w:rPr>
              <w:t>zmodyfikowany</w:t>
            </w:r>
            <w:r w:rsidR="00A467B6">
              <w:rPr>
                <w:rFonts w:ascii="Times New Roman" w:hAnsi="Times New Roman"/>
                <w:color w:val="000000"/>
                <w:sz w:val="20"/>
                <w:szCs w:val="20"/>
              </w:rPr>
              <w:t xml:space="preserve"> w zwi</w:t>
            </w:r>
            <w:r>
              <w:rPr>
                <w:rFonts w:ascii="Times New Roman" w:hAnsi="Times New Roman"/>
                <w:color w:val="000000"/>
                <w:sz w:val="20"/>
                <w:szCs w:val="20"/>
              </w:rPr>
              <w:t>ązku z COVID-19</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119E018E" w14:textId="2F3D3D70"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E70DC"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Wsparcie na rzecz utrzymania zatrudnienia</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CA4AE"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Stały</w:t>
            </w: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66B53" w14:textId="276B759E"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marca, 6 czerwca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006E5" w14:textId="75F42B8A"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26 marca, 6 czerwca, 19 czerwca, 30 lipca, 31 grudnia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584C9" w14:textId="6806D75F"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13 marca, 26 marca, 19 czerwca, 30 lipca, 31 grudnia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r>
      <w:tr w:rsidR="00661387" w:rsidRPr="009D29AB" w14:paraId="3EFAFF56"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2ECC2B"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RO</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2A5B9910"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Nowe mechanizmy</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170BD601" w14:textId="36D3A839"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21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29 maja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7 sierpnia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8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1D9A03"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Bezrobocie techniczne, elastyczna organizacja pracy</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AA4107"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C8D7E83" w14:textId="286D9622"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18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7 sierpnia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B3B40AE"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c>
          <w:tcPr>
            <w:tcW w:w="65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2D2BEC"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661387" w:rsidRPr="009D29AB" w14:paraId="7C9384F7"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E2250CC"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SI</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458271AF"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Nowe mechanizmy</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38501CAB" w14:textId="18EBAC6A"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30 maja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r>
              <w:rPr>
                <w:rFonts w:ascii="Times New Roman" w:hAnsi="Times New Roman"/>
                <w:color w:val="000000"/>
                <w:sz w:val="20"/>
                <w:szCs w:val="20"/>
              </w:rPr>
              <w:t> </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74689AA5" w14:textId="279DBEAF"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Mechanizm rekompensat za wynagrodzenia</w:t>
            </w:r>
            <w:r w:rsidR="00A467B6">
              <w:rPr>
                <w:rFonts w:ascii="Times New Roman" w:hAnsi="Times New Roman"/>
                <w:color w:val="000000"/>
                <w:sz w:val="20"/>
                <w:szCs w:val="20"/>
              </w:rPr>
              <w:t xml:space="preserve"> w cel</w:t>
            </w:r>
            <w:r>
              <w:rPr>
                <w:rFonts w:ascii="Times New Roman" w:hAnsi="Times New Roman"/>
                <w:color w:val="000000"/>
                <w:sz w:val="20"/>
                <w:szCs w:val="20"/>
              </w:rPr>
              <w:t>u utrzymania zatrudnienia oraz mechanizm zmniejszonego wymiaru czasu pracy</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6C019391"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1387039C" w14:textId="149F0EE5"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3DA23ABC" w14:textId="0901C1A8"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28 marca 20</w:t>
            </w:r>
            <w:r w:rsidRPr="00A467B6">
              <w:rPr>
                <w:rFonts w:ascii="Times New Roman" w:hAnsi="Times New Roman"/>
                <w:color w:val="000000"/>
                <w:sz w:val="20"/>
                <w:szCs w:val="20"/>
              </w:rPr>
              <w:t>20</w:t>
            </w:r>
            <w:r w:rsidR="00A467B6" w:rsidRPr="00A467B6">
              <w:rPr>
                <w:rFonts w:ascii="Times New Roman" w:hAnsi="Times New Roman"/>
                <w:color w:val="000000"/>
                <w:sz w:val="20"/>
                <w:szCs w:val="20"/>
              </w:rPr>
              <w:t> </w:t>
            </w:r>
            <w:r w:rsidRPr="00A467B6">
              <w:rPr>
                <w:rFonts w:ascii="Times New Roman" w:hAnsi="Times New Roman"/>
                <w:color w:val="000000"/>
                <w:sz w:val="20"/>
                <w:szCs w:val="20"/>
              </w:rPr>
              <w:t>r.</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13B40794"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w:t>
            </w:r>
          </w:p>
        </w:tc>
      </w:tr>
      <w:tr w:rsidR="00661387" w:rsidRPr="009D29AB" w14:paraId="66E45393" w14:textId="77777777" w:rsidTr="00661387">
        <w:trPr>
          <w:gridAfter w:val="1"/>
          <w:wAfter w:w="8" w:type="pct"/>
          <w:trHeight w:val="290"/>
        </w:trPr>
        <w:tc>
          <w:tcPr>
            <w:tcW w:w="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60ED85" w14:textId="77777777" w:rsidR="00D61F7B" w:rsidRPr="009D29AB" w:rsidRDefault="00D61F7B" w:rsidP="00D61F7B">
            <w:pPr>
              <w:spacing w:after="0"/>
              <w:rPr>
                <w:rFonts w:ascii="Times New Roman" w:hAnsi="Times New Roman" w:cs="Times New Roman"/>
                <w:b/>
                <w:color w:val="000000" w:themeColor="text1"/>
                <w:sz w:val="20"/>
                <w:szCs w:val="20"/>
              </w:rPr>
            </w:pPr>
            <w:r>
              <w:rPr>
                <w:rFonts w:ascii="Times New Roman" w:hAnsi="Times New Roman"/>
                <w:b/>
                <w:color w:val="000000"/>
                <w:sz w:val="20"/>
                <w:szCs w:val="20"/>
              </w:rPr>
              <w:t>SK</w:t>
            </w:r>
          </w:p>
        </w:tc>
        <w:tc>
          <w:tcPr>
            <w:tcW w:w="589" w:type="pct"/>
            <w:tcBorders>
              <w:top w:val="nil"/>
              <w:left w:val="nil"/>
              <w:bottom w:val="single" w:sz="4" w:space="0" w:color="auto"/>
              <w:right w:val="single" w:sz="4" w:space="0" w:color="auto"/>
            </w:tcBorders>
            <w:shd w:val="clear" w:color="auto" w:fill="FFFFFF" w:themeFill="background1"/>
            <w:vAlign w:val="center"/>
            <w:hideMark/>
          </w:tcPr>
          <w:p w14:paraId="1B84CF7A" w14:textId="301FA05D"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Istniejący mechanizm rozszerzony</w:t>
            </w:r>
            <w:r w:rsidR="00661387">
              <w:rPr>
                <w:rFonts w:ascii="Times New Roman" w:hAnsi="Times New Roman"/>
                <w:color w:val="000000"/>
                <w:sz w:val="20"/>
                <w:szCs w:val="20"/>
              </w:rPr>
              <w:t xml:space="preserve"> </w:t>
            </w:r>
            <w:r>
              <w:rPr>
                <w:rFonts w:ascii="Times New Roman" w:hAnsi="Times New Roman"/>
                <w:color w:val="000000"/>
                <w:sz w:val="20"/>
                <w:szCs w:val="20"/>
              </w:rPr>
              <w:t>/</w:t>
            </w:r>
            <w:r w:rsidR="00661387">
              <w:rPr>
                <w:rFonts w:ascii="Times New Roman" w:hAnsi="Times New Roman"/>
                <w:color w:val="000000"/>
                <w:sz w:val="20"/>
                <w:szCs w:val="20"/>
              </w:rPr>
              <w:t xml:space="preserve"> </w:t>
            </w:r>
            <w:r>
              <w:rPr>
                <w:rFonts w:ascii="Times New Roman" w:hAnsi="Times New Roman"/>
                <w:color w:val="000000"/>
                <w:sz w:val="20"/>
                <w:szCs w:val="20"/>
              </w:rPr>
              <w:t>zmodyfikowany</w:t>
            </w:r>
            <w:r w:rsidR="00A467B6">
              <w:rPr>
                <w:rFonts w:ascii="Times New Roman" w:hAnsi="Times New Roman"/>
                <w:color w:val="000000"/>
                <w:sz w:val="20"/>
                <w:szCs w:val="20"/>
              </w:rPr>
              <w:t xml:space="preserve"> w zwi</w:t>
            </w:r>
            <w:r>
              <w:rPr>
                <w:rFonts w:ascii="Times New Roman" w:hAnsi="Times New Roman"/>
                <w:color w:val="000000"/>
                <w:sz w:val="20"/>
                <w:szCs w:val="20"/>
              </w:rPr>
              <w:t>ązku z COVID-19</w:t>
            </w:r>
          </w:p>
        </w:tc>
        <w:tc>
          <w:tcPr>
            <w:tcW w:w="661" w:type="pct"/>
            <w:tcBorders>
              <w:top w:val="nil"/>
              <w:left w:val="nil"/>
              <w:bottom w:val="single" w:sz="4" w:space="0" w:color="auto"/>
              <w:right w:val="single" w:sz="4" w:space="0" w:color="auto"/>
            </w:tcBorders>
            <w:shd w:val="clear" w:color="auto" w:fill="FFFFFF" w:themeFill="background1"/>
            <w:vAlign w:val="center"/>
            <w:hideMark/>
          </w:tcPr>
          <w:p w14:paraId="51182BB9"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(data niedostępna)</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27523F16"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Mechanizm zmniejszonego wymiaru czasu pracy</w:t>
            </w:r>
          </w:p>
        </w:tc>
        <w:tc>
          <w:tcPr>
            <w:tcW w:w="493" w:type="pct"/>
            <w:tcBorders>
              <w:top w:val="nil"/>
              <w:left w:val="nil"/>
              <w:bottom w:val="single" w:sz="4" w:space="0" w:color="auto"/>
              <w:right w:val="single" w:sz="4" w:space="0" w:color="auto"/>
            </w:tcBorders>
            <w:shd w:val="clear" w:color="auto" w:fill="FFFFFF" w:themeFill="background1"/>
            <w:vAlign w:val="center"/>
            <w:hideMark/>
          </w:tcPr>
          <w:p w14:paraId="194AF188"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Tymczasowy</w:t>
            </w:r>
          </w:p>
        </w:tc>
        <w:tc>
          <w:tcPr>
            <w:tcW w:w="705" w:type="pct"/>
            <w:gridSpan w:val="2"/>
            <w:tcBorders>
              <w:top w:val="nil"/>
              <w:left w:val="nil"/>
              <w:bottom w:val="single" w:sz="4" w:space="0" w:color="auto"/>
              <w:right w:val="single" w:sz="4" w:space="0" w:color="auto"/>
            </w:tcBorders>
            <w:shd w:val="clear" w:color="auto" w:fill="FFFFFF" w:themeFill="background1"/>
            <w:vAlign w:val="center"/>
            <w:hideMark/>
          </w:tcPr>
          <w:p w14:paraId="6B20AD45" w14:textId="77777777" w:rsidR="00D61F7B" w:rsidRPr="009D29AB" w:rsidRDefault="00D61F7B" w:rsidP="00D61F7B">
            <w:pPr>
              <w:spacing w:after="0"/>
              <w:rPr>
                <w:rFonts w:ascii="Times New Roman" w:hAnsi="Times New Roman" w:cs="Times New Roman"/>
                <w:color w:val="000000" w:themeColor="text1"/>
                <w:sz w:val="20"/>
                <w:szCs w:val="20"/>
              </w:rPr>
            </w:pPr>
            <w:r>
              <w:rPr>
                <w:rFonts w:ascii="Times New Roman" w:hAnsi="Times New Roman"/>
                <w:color w:val="000000"/>
                <w:sz w:val="20"/>
                <w:szCs w:val="20"/>
              </w:rPr>
              <w:t>Tak (data niedostępna)</w:t>
            </w:r>
          </w:p>
        </w:tc>
        <w:tc>
          <w:tcPr>
            <w:tcW w:w="654" w:type="pct"/>
            <w:tcBorders>
              <w:top w:val="nil"/>
              <w:left w:val="nil"/>
              <w:bottom w:val="single" w:sz="4" w:space="0" w:color="auto"/>
              <w:right w:val="single" w:sz="4" w:space="0" w:color="auto"/>
            </w:tcBorders>
            <w:shd w:val="clear" w:color="auto" w:fill="FFFFFF" w:themeFill="background1"/>
            <w:vAlign w:val="center"/>
            <w:hideMark/>
          </w:tcPr>
          <w:p w14:paraId="5FA4191D"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356460DA" w14:textId="77777777" w:rsidR="00D61F7B" w:rsidRPr="009D29AB" w:rsidRDefault="00D61F7B" w:rsidP="00D61F7B">
            <w:pPr>
              <w:spacing w:after="0"/>
              <w:rPr>
                <w:rFonts w:ascii="Times New Roman" w:hAnsi="Times New Roman" w:cs="Times New Roman"/>
                <w:color w:val="000000"/>
                <w:sz w:val="20"/>
                <w:szCs w:val="20"/>
              </w:rPr>
            </w:pPr>
            <w:r>
              <w:rPr>
                <w:rFonts w:ascii="Times New Roman" w:hAnsi="Times New Roman"/>
                <w:color w:val="000000"/>
                <w:sz w:val="20"/>
                <w:szCs w:val="20"/>
              </w:rPr>
              <w:t> -</w:t>
            </w:r>
          </w:p>
        </w:tc>
      </w:tr>
    </w:tbl>
    <w:p w14:paraId="60671A13" w14:textId="77777777" w:rsidR="00D61F7B" w:rsidRPr="00C54035" w:rsidRDefault="00D61F7B" w:rsidP="00D61F7B">
      <w:pPr>
        <w:tabs>
          <w:tab w:val="left" w:pos="1101"/>
          <w:tab w:val="left" w:pos="2706"/>
          <w:tab w:val="left" w:pos="4076"/>
          <w:tab w:val="left" w:pos="6561"/>
          <w:tab w:val="left" w:pos="7839"/>
          <w:tab w:val="left" w:pos="9618"/>
          <w:tab w:val="left" w:pos="11397"/>
        </w:tabs>
        <w:spacing w:after="0"/>
        <w:rPr>
          <w:rFonts w:ascii="Times New Roman" w:hAnsi="Times New Roman" w:cs="Times New Roman"/>
          <w:b/>
          <w:color w:val="000000"/>
          <w:sz w:val="20"/>
          <w:szCs w:val="20"/>
          <w:lang w:val="en-IE" w:eastAsia="en-GB"/>
        </w:rPr>
      </w:pPr>
    </w:p>
    <w:sectPr w:rsidR="00D61F7B" w:rsidRPr="00C54035" w:rsidSect="006472F1">
      <w:headerReference w:type="even" r:id="rId44"/>
      <w:headerReference w:type="default" r:id="rId45"/>
      <w:footerReference w:type="even" r:id="rId46"/>
      <w:footerReference w:type="default" r:id="rId47"/>
      <w:headerReference w:type="first" r:id="rId48"/>
      <w:footerReference w:type="first" r:id="rId4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5766" w14:textId="77777777" w:rsidR="005C6E72" w:rsidRDefault="005C6E72" w:rsidP="009D29AB">
      <w:pPr>
        <w:spacing w:after="0" w:line="240" w:lineRule="auto"/>
      </w:pPr>
      <w:r>
        <w:separator/>
      </w:r>
    </w:p>
  </w:endnote>
  <w:endnote w:type="continuationSeparator" w:id="0">
    <w:p w14:paraId="2A4A3DD7" w14:textId="77777777" w:rsidR="005C6E72" w:rsidRDefault="005C6E72" w:rsidP="009D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4F03" w14:textId="77777777" w:rsidR="00C54035" w:rsidRPr="00C54035" w:rsidRDefault="00C54035" w:rsidP="00C540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1668" w14:textId="77777777" w:rsidR="005C6E72" w:rsidRDefault="005C6E7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064CF4EC" w14:textId="5CFA3ED5" w:rsidR="005C6E72" w:rsidRDefault="005C6E7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54035">
          <w:rPr>
            <w:rFonts w:ascii="Times New Roman" w:hAnsi="Times New Roman" w:cs="Times New Roman"/>
            <w:noProof/>
          </w:rPr>
          <w:t>38</w:t>
        </w:r>
        <w:r>
          <w:rPr>
            <w:rFonts w:ascii="Times New Roman" w:hAnsi="Times New Roman" w:cs="Times New Roman"/>
          </w:rPr>
          <w:fldChar w:fldCharType="end"/>
        </w:r>
      </w:p>
    </w:sdtContent>
  </w:sdt>
  <w:p w14:paraId="515CC89E" w14:textId="77777777" w:rsidR="005C6E72" w:rsidRDefault="005C6E7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DE6D" w14:textId="77777777" w:rsidR="005C6E72" w:rsidRDefault="005C6E7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ACBC" w14:textId="77777777" w:rsidR="005C6E72" w:rsidRDefault="005C6E7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58904"/>
      <w:docPartObj>
        <w:docPartGallery w:val="Page Numbers (Bottom of Page)"/>
        <w:docPartUnique/>
      </w:docPartObj>
    </w:sdtPr>
    <w:sdtEndPr>
      <w:rPr>
        <w:noProof/>
      </w:rPr>
    </w:sdtEndPr>
    <w:sdtContent>
      <w:p w14:paraId="463472AE" w14:textId="58AA1B5D" w:rsidR="005C6E72" w:rsidRDefault="005C6E7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54035">
          <w:rPr>
            <w:rFonts w:ascii="Times New Roman" w:hAnsi="Times New Roman" w:cs="Times New Roman"/>
            <w:noProof/>
          </w:rPr>
          <w:t>42</w:t>
        </w:r>
        <w:r>
          <w:rPr>
            <w:rFonts w:ascii="Times New Roman" w:hAnsi="Times New Roman" w:cs="Times New Roman"/>
          </w:rPr>
          <w:fldChar w:fldCharType="end"/>
        </w:r>
      </w:p>
    </w:sdtContent>
  </w:sdt>
  <w:p w14:paraId="65205879" w14:textId="77777777" w:rsidR="005C6E72" w:rsidRDefault="005C6E7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9765" w14:textId="77777777" w:rsidR="005C6E72" w:rsidRDefault="005C6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225A" w14:textId="3E057636" w:rsidR="00C54035" w:rsidRPr="00C54035" w:rsidRDefault="00C54035" w:rsidP="00C54035">
    <w:pPr>
      <w:pStyle w:val="FooterCoverPage"/>
      <w:rPr>
        <w:rFonts w:ascii="Arial" w:hAnsi="Arial" w:cs="Arial"/>
        <w:b/>
        <w:sz w:val="48"/>
      </w:rPr>
    </w:pPr>
    <w:r w:rsidRPr="00C54035">
      <w:rPr>
        <w:rFonts w:ascii="Arial" w:hAnsi="Arial" w:cs="Arial"/>
        <w:b/>
        <w:sz w:val="48"/>
      </w:rPr>
      <w:t>PL</w:t>
    </w:r>
    <w:r w:rsidRPr="00C54035">
      <w:rPr>
        <w:rFonts w:ascii="Arial" w:hAnsi="Arial" w:cs="Arial"/>
        <w:b/>
        <w:sz w:val="48"/>
      </w:rPr>
      <w:tab/>
    </w:r>
    <w:r w:rsidRPr="00C54035">
      <w:rPr>
        <w:rFonts w:ascii="Arial" w:hAnsi="Arial" w:cs="Arial"/>
        <w:b/>
        <w:sz w:val="48"/>
      </w:rPr>
      <w:tab/>
    </w:r>
    <w:r w:rsidRPr="00C54035">
      <w:tab/>
    </w:r>
    <w:r w:rsidRPr="00C54035">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825E" w14:textId="77777777" w:rsidR="00C54035" w:rsidRPr="00C54035" w:rsidRDefault="00C54035" w:rsidP="00C5403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B0DC" w14:textId="77777777" w:rsidR="005C6E72" w:rsidRDefault="005C6E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85048"/>
      <w:docPartObj>
        <w:docPartGallery w:val="Page Numbers (Bottom of Page)"/>
        <w:docPartUnique/>
      </w:docPartObj>
    </w:sdtPr>
    <w:sdtEndPr>
      <w:rPr>
        <w:noProof/>
      </w:rPr>
    </w:sdtEndPr>
    <w:sdtContent>
      <w:p w14:paraId="6F1C1C21" w14:textId="1AC30A68" w:rsidR="005C6E72" w:rsidRDefault="005C6E7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54035">
          <w:rPr>
            <w:rFonts w:ascii="Times New Roman" w:hAnsi="Times New Roman" w:cs="Times New Roman"/>
            <w:noProof/>
          </w:rPr>
          <w:t>14</w:t>
        </w:r>
        <w:r>
          <w:rPr>
            <w:rFonts w:ascii="Times New Roman" w:hAnsi="Times New Roman" w:cs="Times New Roman"/>
          </w:rPr>
          <w:fldChar w:fldCharType="end"/>
        </w:r>
      </w:p>
    </w:sdtContent>
  </w:sdt>
  <w:p w14:paraId="24700C82" w14:textId="77777777" w:rsidR="005C6E72" w:rsidRDefault="005C6E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3090" w14:textId="77777777" w:rsidR="005C6E72" w:rsidRDefault="005C6E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48CE" w14:textId="77777777" w:rsidR="005C6E72" w:rsidRDefault="005C6E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3546"/>
      <w:docPartObj>
        <w:docPartGallery w:val="Page Numbers (Bottom of Page)"/>
        <w:docPartUnique/>
      </w:docPartObj>
    </w:sdtPr>
    <w:sdtEndPr>
      <w:rPr>
        <w:noProof/>
      </w:rPr>
    </w:sdtEndPr>
    <w:sdtContent>
      <w:p w14:paraId="121E8212" w14:textId="610A342E" w:rsidR="005C6E72" w:rsidRDefault="005C6E72">
        <w:pPr>
          <w:pStyle w:val="Footer"/>
          <w:jc w:val="center"/>
        </w:pPr>
        <w:r>
          <w:fldChar w:fldCharType="begin"/>
        </w:r>
        <w:r>
          <w:instrText xml:space="preserve"> PAGE   \* MERGEFORMAT </w:instrText>
        </w:r>
        <w:r>
          <w:fldChar w:fldCharType="separate"/>
        </w:r>
        <w:r w:rsidR="00C54035">
          <w:rPr>
            <w:noProof/>
          </w:rPr>
          <w:t>15</w:t>
        </w:r>
        <w:r>
          <w:fldChar w:fldCharType="end"/>
        </w:r>
      </w:p>
    </w:sdtContent>
  </w:sdt>
  <w:p w14:paraId="3770ADA7" w14:textId="77777777" w:rsidR="005C6E72" w:rsidRDefault="005C6E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8AFE" w14:textId="77777777" w:rsidR="005C6E72" w:rsidRDefault="005C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998E" w14:textId="77777777" w:rsidR="005C6E72" w:rsidRDefault="005C6E72" w:rsidP="009D29AB">
      <w:pPr>
        <w:spacing w:after="0" w:line="240" w:lineRule="auto"/>
      </w:pPr>
      <w:r>
        <w:separator/>
      </w:r>
    </w:p>
  </w:footnote>
  <w:footnote w:type="continuationSeparator" w:id="0">
    <w:p w14:paraId="327218BA" w14:textId="77777777" w:rsidR="005C6E72" w:rsidRDefault="005C6E72" w:rsidP="009D29AB">
      <w:pPr>
        <w:spacing w:after="0" w:line="240" w:lineRule="auto"/>
      </w:pPr>
      <w:r>
        <w:continuationSeparator/>
      </w:r>
    </w:p>
  </w:footnote>
  <w:footnote w:id="1">
    <w:p w14:paraId="516A7A37" w14:textId="6389E321" w:rsidR="005C6E72" w:rsidRPr="00D16DF1" w:rsidRDefault="005C6E72" w:rsidP="009D29AB">
      <w:pPr>
        <w:pStyle w:val="FootnoteText"/>
        <w:spacing w:after="0"/>
        <w:ind w:left="0" w:firstLine="0"/>
      </w:pPr>
      <w:r>
        <w:rPr>
          <w:rStyle w:val="FootnoteReference"/>
          <w:lang w:val="en-IE"/>
        </w:rPr>
        <w:footnoteRef/>
      </w:r>
      <w:r>
        <w:t xml:space="preserve"> W wytycznych politycznych Komisji na lata 2019–2024 zaproponowano europejski program reasekuracji świadczeń dla osób bezrobotnych w celu ochrony obywateli Unii i zmniejszenia presji na finanse publiczne w przypadku wstrząsów zewnętrznych.</w:t>
      </w:r>
    </w:p>
  </w:footnote>
  <w:footnote w:id="2">
    <w:p w14:paraId="7CDF6120" w14:textId="3FDE6A02" w:rsidR="005C6E72" w:rsidRPr="00A467B6" w:rsidRDefault="005C6E72" w:rsidP="009D29AB">
      <w:pPr>
        <w:pStyle w:val="FootnoteText"/>
        <w:spacing w:after="0"/>
        <w:ind w:left="0" w:firstLine="0"/>
      </w:pPr>
      <w:r>
        <w:rPr>
          <w:rStyle w:val="FootnoteReference"/>
        </w:rPr>
        <w:footnoteRef/>
      </w:r>
      <w:r>
        <w:t xml:space="preserve"> Rozporządzenie Rady (UE) 2020/672 z dnia 19 maja 20</w:t>
      </w:r>
      <w:r w:rsidRPr="00A467B6">
        <w:t>20 r.</w:t>
      </w:r>
      <w:r>
        <w:t xml:space="preserve"> w sprawie ustanowienia europejskiego instrumentu tymczasowego wsparcia w celu zmniejszenia zagrożeń związanych z bezrobociem w sytuacji nadzwyczajnej (SURE), jaka wystąpiła w związku z pandemią COVID-19, Dz.U. L 159 z 20.5.2020, s. 1 (</w:t>
      </w:r>
      <w:hyperlink r:id="rId1" w:history="1">
        <w:r>
          <w:rPr>
            <w:rStyle w:val="Hyperlink"/>
          </w:rPr>
          <w:t>https://eur-lex.europa.eu/legal-content/PL/TXT/PDF/?uri=CELEX:32020R0672&amp;from=pl</w:t>
        </w:r>
      </w:hyperlink>
      <w:r>
        <w:t>)</w:t>
      </w:r>
      <w:r w:rsidRPr="00A467B6">
        <w:t xml:space="preserve">. </w:t>
      </w:r>
    </w:p>
  </w:footnote>
  <w:footnote w:id="3">
    <w:p w14:paraId="209DFDF7" w14:textId="2E564F88" w:rsidR="005C6E72" w:rsidRPr="00D339EC" w:rsidRDefault="005C6E72" w:rsidP="009D29AB">
      <w:pPr>
        <w:pStyle w:val="FootnoteText"/>
        <w:spacing w:after="0"/>
      </w:pPr>
      <w:r>
        <w:rPr>
          <w:rStyle w:val="FootnoteReference"/>
        </w:rPr>
        <w:footnoteRef/>
      </w:r>
      <w:r>
        <w:t xml:space="preserve"> Art. 14 </w:t>
      </w:r>
      <w:r w:rsidRPr="00A467B6">
        <w:t>ust. 1</w:t>
      </w:r>
      <w:r>
        <w:t xml:space="preserve"> rozporządzenia w sprawie SURE. </w:t>
      </w:r>
    </w:p>
  </w:footnote>
  <w:footnote w:id="4">
    <w:p w14:paraId="6824B196" w14:textId="77777777" w:rsidR="005C6E72" w:rsidRPr="00DC16DE" w:rsidRDefault="005C6E72" w:rsidP="009D29AB">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https://ec.europa.eu/info/strategy/eu-budget/eu-borrower/eu-borrowing-activities/eu-sure-social-bond-framework_en</w:t>
        </w:r>
      </w:hyperlink>
      <w:r>
        <w:t xml:space="preserve"> </w:t>
      </w:r>
    </w:p>
  </w:footnote>
  <w:footnote w:id="5">
    <w:p w14:paraId="62BDC4EC" w14:textId="3053AD6C" w:rsidR="005C6E72" w:rsidRPr="007B502F" w:rsidRDefault="005C6E72" w:rsidP="009D29AB">
      <w:pPr>
        <w:pStyle w:val="FootnoteText"/>
        <w:spacing w:after="0"/>
        <w:ind w:left="0" w:firstLine="0"/>
      </w:pPr>
      <w:r>
        <w:rPr>
          <w:rStyle w:val="FootnoteReference"/>
        </w:rPr>
        <w:footnoteRef/>
      </w:r>
      <w:r>
        <w:t xml:space="preserve"> Sekcje II i III dotyczą korzystania z pomocy finansowej w ramach SURE zgodnie z </w:t>
      </w:r>
      <w:r w:rsidRPr="00A467B6">
        <w:t>art. 1</w:t>
      </w:r>
      <w:r>
        <w:t xml:space="preserve">4 </w:t>
      </w:r>
      <w:r w:rsidRPr="00A467B6">
        <w:t>ust. 1</w:t>
      </w:r>
      <w:r>
        <w:t xml:space="preserve"> rozporządzenia w sprawie SURE.</w:t>
      </w:r>
    </w:p>
  </w:footnote>
  <w:footnote w:id="6">
    <w:p w14:paraId="25386E1F" w14:textId="64812956" w:rsidR="005C6E72" w:rsidRPr="002B2B55" w:rsidRDefault="005C6E72" w:rsidP="009D29AB">
      <w:pPr>
        <w:pStyle w:val="FootnoteText"/>
        <w:spacing w:after="0"/>
        <w:ind w:left="0" w:firstLine="0"/>
      </w:pPr>
      <w:r>
        <w:rPr>
          <w:rStyle w:val="FootnoteReference"/>
        </w:rPr>
        <w:footnoteRef/>
      </w:r>
      <w:r>
        <w:t xml:space="preserve"> Wniosek dotyczący rozporządzenia Rady w sprawie ustanowienia europejskiego instrumentu tymczasowego wsparcia w celu zmniejszenia ryzyka bezrobocia w związku z sytuacją nadzwyczajną (SURE) spowodowaną pandemią COVID-19, COM(2020) 139 final (</w:t>
      </w:r>
      <w:hyperlink r:id="rId3" w:history="1">
        <w:r>
          <w:rPr>
            <w:rStyle w:val="Hyperlink"/>
          </w:rPr>
          <w:t>https://eur-lex.europa.eu/legal-content/PL/TXT/?uri=COM%3A2020%3A0139%3AFIN</w:t>
        </w:r>
      </w:hyperlink>
      <w:r>
        <w:t xml:space="preserve">) </w:t>
      </w:r>
    </w:p>
  </w:footnote>
  <w:footnote w:id="7">
    <w:p w14:paraId="00E573AE" w14:textId="50D71387" w:rsidR="005C6E72" w:rsidRPr="00F626AB" w:rsidRDefault="005C6E72" w:rsidP="009D29AB">
      <w:pPr>
        <w:pStyle w:val="FootnoteText"/>
        <w:spacing w:after="0"/>
      </w:pPr>
      <w:r>
        <w:rPr>
          <w:rStyle w:val="FootnoteReference"/>
        </w:rPr>
        <w:footnoteRef/>
      </w:r>
      <w:r>
        <w:t xml:space="preserve"> Zob. </w:t>
      </w:r>
      <w:r w:rsidRPr="00A467B6">
        <w:t>art. 1</w:t>
      </w:r>
      <w:r>
        <w:t xml:space="preserve">1 i 12 rozporządzenia w sprawie SURE. </w:t>
      </w:r>
    </w:p>
  </w:footnote>
  <w:footnote w:id="8">
    <w:p w14:paraId="7D939A92" w14:textId="41E9242C" w:rsidR="005C6E72" w:rsidRPr="000A3807" w:rsidRDefault="005C6E72" w:rsidP="009D29AB">
      <w:pPr>
        <w:pStyle w:val="FootnoteText"/>
        <w:spacing w:after="0"/>
      </w:pPr>
      <w:r>
        <w:rPr>
          <w:rStyle w:val="FootnoteReference"/>
        </w:rPr>
        <w:footnoteRef/>
      </w:r>
      <w:r>
        <w:t xml:space="preserve"> Zob. </w:t>
      </w:r>
      <w:r w:rsidRPr="00A467B6">
        <w:t>art. 3</w:t>
      </w:r>
      <w:r>
        <w:t xml:space="preserve"> </w:t>
      </w:r>
      <w:r w:rsidRPr="00A467B6">
        <w:t>ust. 1</w:t>
      </w:r>
      <w:r>
        <w:t xml:space="preserve"> rozporządzenia w sprawie SURE. </w:t>
      </w:r>
    </w:p>
  </w:footnote>
  <w:footnote w:id="9">
    <w:p w14:paraId="229DD45E" w14:textId="5EEAE736" w:rsidR="005C6E72" w:rsidRPr="008111E1" w:rsidRDefault="005C6E72" w:rsidP="009D29AB">
      <w:pPr>
        <w:pStyle w:val="FootnoteText"/>
        <w:spacing w:after="0"/>
      </w:pPr>
      <w:r>
        <w:rPr>
          <w:rStyle w:val="FootnoteReference"/>
        </w:rPr>
        <w:footnoteRef/>
      </w:r>
      <w:r>
        <w:t xml:space="preserve"> Zob. </w:t>
      </w:r>
      <w:r w:rsidRPr="00A467B6">
        <w:t>art. 6</w:t>
      </w:r>
      <w:r>
        <w:t xml:space="preserve"> rozporządzenia w sprawie SURE.</w:t>
      </w:r>
    </w:p>
  </w:footnote>
  <w:footnote w:id="10">
    <w:p w14:paraId="1BE8ECCC" w14:textId="7157408B" w:rsidR="005C6E72" w:rsidRPr="009C416A" w:rsidRDefault="005C6E72" w:rsidP="009D29AB">
      <w:pPr>
        <w:pStyle w:val="FootnoteText"/>
        <w:spacing w:after="0"/>
      </w:pPr>
      <w:r>
        <w:rPr>
          <w:rStyle w:val="FootnoteReference"/>
        </w:rPr>
        <w:footnoteRef/>
      </w:r>
      <w:r>
        <w:t xml:space="preserve"> Zob. </w:t>
      </w:r>
      <w:r w:rsidRPr="00A467B6">
        <w:t>art. 1</w:t>
      </w:r>
      <w:r>
        <w:t xml:space="preserve">2 </w:t>
      </w:r>
      <w:r w:rsidRPr="00A467B6">
        <w:t>ust. 3</w:t>
      </w:r>
      <w:r>
        <w:t xml:space="preserve"> rozporządzenia w sprawie SURE. </w:t>
      </w:r>
    </w:p>
  </w:footnote>
  <w:footnote w:id="11">
    <w:p w14:paraId="51D10EFF" w14:textId="0D9438E0" w:rsidR="005C6E72" w:rsidRPr="005B2819" w:rsidRDefault="005C6E72" w:rsidP="009D29AB">
      <w:pPr>
        <w:pStyle w:val="FootnoteText"/>
        <w:spacing w:after="0"/>
      </w:pPr>
      <w:r>
        <w:rPr>
          <w:rStyle w:val="FootnoteReference"/>
        </w:rPr>
        <w:footnoteRef/>
      </w:r>
      <w:r>
        <w:t xml:space="preserve"> Zob. </w:t>
      </w:r>
      <w:r w:rsidRPr="00A467B6">
        <w:t>art. 8</w:t>
      </w:r>
      <w:r>
        <w:t xml:space="preserve"> </w:t>
      </w:r>
      <w:r w:rsidRPr="00A467B6">
        <w:t>ust. 2</w:t>
      </w:r>
      <w:r>
        <w:t xml:space="preserve"> rozporządzenia w sprawie SURE. </w:t>
      </w:r>
    </w:p>
  </w:footnote>
  <w:footnote w:id="12">
    <w:p w14:paraId="5C393203" w14:textId="28289A5F" w:rsidR="005C6E72" w:rsidRPr="0080446D" w:rsidRDefault="005C6E72" w:rsidP="009D29AB">
      <w:pPr>
        <w:pStyle w:val="FootnoteText"/>
        <w:spacing w:after="0"/>
      </w:pPr>
      <w:r>
        <w:rPr>
          <w:rStyle w:val="FootnoteReference"/>
        </w:rPr>
        <w:footnoteRef/>
      </w:r>
      <w:r>
        <w:t xml:space="preserve"> Zob. </w:t>
      </w:r>
      <w:r w:rsidRPr="00A467B6">
        <w:t>art. 7</w:t>
      </w:r>
      <w:r>
        <w:t xml:space="preserve"> rozporządzenia w sprawie SURE.</w:t>
      </w:r>
    </w:p>
  </w:footnote>
  <w:footnote w:id="13">
    <w:p w14:paraId="19409414" w14:textId="285B11AA" w:rsidR="005C6E72" w:rsidRPr="0080446D" w:rsidRDefault="005C6E72" w:rsidP="009D29AB">
      <w:pPr>
        <w:pStyle w:val="FootnoteText"/>
        <w:spacing w:after="0"/>
        <w:ind w:left="0" w:firstLine="0"/>
      </w:pPr>
      <w:r>
        <w:rPr>
          <w:rStyle w:val="FootnoteReference"/>
        </w:rPr>
        <w:footnoteRef/>
      </w:r>
      <w:r>
        <w:t xml:space="preserve"> W przypadku pożyczek wzajemnych Komisja zaciąga pożyczki w imieniu Unii, a pozyskane w ten sposób środki przeznacza na pożyczki udzielane państwom członkowskim na tych samych warunkach. </w:t>
      </w:r>
    </w:p>
  </w:footnote>
  <w:footnote w:id="14">
    <w:p w14:paraId="5D7D87D3" w14:textId="65334847" w:rsidR="005C6E72" w:rsidRPr="007E54C6" w:rsidRDefault="005C6E72" w:rsidP="009D29AB">
      <w:pPr>
        <w:pStyle w:val="FootnoteText"/>
        <w:spacing w:after="0"/>
        <w:ind w:left="0" w:firstLine="0"/>
      </w:pPr>
      <w:r>
        <w:rPr>
          <w:rStyle w:val="FootnoteReference"/>
        </w:rPr>
        <w:footnoteRef/>
      </w:r>
      <w:r>
        <w:t xml:space="preserve"> W dniu 26 lutego 20</w:t>
      </w:r>
      <w:r w:rsidRPr="00A467B6">
        <w:t>21 r.</w:t>
      </w:r>
      <w:r>
        <w:t xml:space="preserve"> Komisja przedstawiła wniosek dotyczący decyzji wykonawczej Rady w sprawie udzielenia Estonii tymczasowego wsparcia na podstawie rozporządzenia w sprawie SURE w kwocie 230 mln EUR (COM(2021) 104 final). </w:t>
      </w:r>
    </w:p>
  </w:footnote>
  <w:footnote w:id="15">
    <w:p w14:paraId="33D08B36" w14:textId="2DAF18F2" w:rsidR="005C6E72" w:rsidRPr="00CE45D9" w:rsidRDefault="005C6E72" w:rsidP="009D29AB">
      <w:pPr>
        <w:pStyle w:val="FootnoteText"/>
        <w:spacing w:after="0"/>
        <w:ind w:left="0" w:firstLine="0"/>
      </w:pPr>
      <w:r>
        <w:rPr>
          <w:rStyle w:val="FootnoteReference"/>
        </w:rPr>
        <w:footnoteRef/>
      </w:r>
      <w:r>
        <w:t xml:space="preserve"> Art. 9 </w:t>
      </w:r>
      <w:r w:rsidRPr="00A467B6">
        <w:t>ust. 1</w:t>
      </w:r>
      <w:r>
        <w:t xml:space="preserve"> rozporządzenia w sprawie SURE. Obowiązywanie limitu koncentracji oznacza, że te trzy państwa członkowskie nie będą mogły składać wniosków o udzielenie jakiegokolwiek dodatkowego wsparcia, a żadne inne państwo członkowskie nie będzie mogło uzyskać pożyczek na łączną kwotę przewyższającą 11,2 mld EUR (czyli przewyższającą dotychczasową trzecią co do wielkości kwotę pożyczki), gdyż skutkowałoby to przekroczeniem limitu określonego na poziomie 6</w:t>
      </w:r>
      <w:r w:rsidRPr="00A467B6">
        <w:t>0 %</w:t>
      </w:r>
      <w:r>
        <w:t>.</w:t>
      </w:r>
    </w:p>
  </w:footnote>
  <w:footnote w:id="16">
    <w:p w14:paraId="62795D1F" w14:textId="3FF7924D" w:rsidR="005C6E72" w:rsidRPr="00545323" w:rsidRDefault="005C6E72" w:rsidP="009D29AB">
      <w:pPr>
        <w:pStyle w:val="FootnoteText"/>
        <w:spacing w:after="0"/>
      </w:pPr>
      <w:r>
        <w:rPr>
          <w:rStyle w:val="FootnoteReference"/>
        </w:rPr>
        <w:footnoteRef/>
      </w:r>
      <w:r>
        <w:t xml:space="preserve"> Art. 4 rozporządzenia w sprawie SURE. </w:t>
      </w:r>
    </w:p>
  </w:footnote>
  <w:footnote w:id="17">
    <w:p w14:paraId="64F66B8A" w14:textId="2B0206DE" w:rsidR="005C6E72" w:rsidRPr="0045161F" w:rsidRDefault="005C6E72" w:rsidP="009D29AB">
      <w:pPr>
        <w:pStyle w:val="FootnoteText"/>
        <w:spacing w:after="0"/>
        <w:ind w:left="0" w:firstLine="0"/>
      </w:pPr>
      <w:r>
        <w:rPr>
          <w:rStyle w:val="FootnoteReference"/>
        </w:rPr>
        <w:footnoteRef/>
      </w:r>
      <w:r>
        <w:t xml:space="preserve"> Art. 2 </w:t>
      </w:r>
      <w:r w:rsidRPr="00A467B6">
        <w:t>ust. 1</w:t>
      </w:r>
      <w:r>
        <w:t xml:space="preserve"> każdej decyzji wykonawczej Rady stanowi, że maksymalny średni termin zapadalności pożyczki udzielanej przez Unię państwu członkowskiemu wynosi 15 lat. </w:t>
      </w:r>
    </w:p>
  </w:footnote>
  <w:footnote w:id="18">
    <w:p w14:paraId="5C8881F2" w14:textId="02CB7D1E" w:rsidR="005C6E72" w:rsidRPr="007739A3" w:rsidRDefault="005C6E72" w:rsidP="009D29AB">
      <w:pPr>
        <w:pStyle w:val="FootnoteText"/>
        <w:spacing w:after="0"/>
        <w:ind w:left="0" w:firstLine="0"/>
      </w:pPr>
      <w:r>
        <w:rPr>
          <w:rStyle w:val="FootnoteReference"/>
        </w:rPr>
        <w:footnoteRef/>
      </w:r>
      <w:r>
        <w:t xml:space="preserve"> Czechy nie przedstawiły zaktualizowanego sprawozdania na podstawie </w:t>
      </w:r>
      <w:r w:rsidRPr="00A467B6">
        <w:t>art. 1</w:t>
      </w:r>
      <w:r>
        <w:t>1 rozporządzenia w sprawie SURE do daty granicznej, a zatem wszystkie dane dotyczące Czech opierają się na wstępnym sprawozdaniu przedstawionym w sierpniu 20</w:t>
      </w:r>
      <w:r w:rsidRPr="00A467B6">
        <w:t>20 r.</w:t>
      </w:r>
    </w:p>
  </w:footnote>
  <w:footnote w:id="19">
    <w:p w14:paraId="7BEE0191" w14:textId="08D02A92" w:rsidR="005C6E72" w:rsidRPr="00545323" w:rsidRDefault="005C6E72" w:rsidP="009D29AB">
      <w:pPr>
        <w:pStyle w:val="FootnoteText"/>
        <w:spacing w:after="0"/>
      </w:pPr>
      <w:r>
        <w:rPr>
          <w:rStyle w:val="FootnoteReference"/>
        </w:rPr>
        <w:footnoteRef/>
      </w:r>
      <w:r>
        <w:t xml:space="preserve"> Zob. </w:t>
      </w:r>
      <w:r w:rsidRPr="00A467B6">
        <w:t>art. 3</w:t>
      </w:r>
      <w:r>
        <w:t xml:space="preserve"> </w:t>
      </w:r>
      <w:r w:rsidRPr="00A467B6">
        <w:t>ust. 2</w:t>
      </w:r>
      <w:r>
        <w:t xml:space="preserve"> i </w:t>
      </w:r>
      <w:r w:rsidRPr="00A467B6">
        <w:t>art. 1</w:t>
      </w:r>
      <w:r>
        <w:t xml:space="preserve"> </w:t>
      </w:r>
      <w:r w:rsidRPr="00A467B6">
        <w:t>ust. 2</w:t>
      </w:r>
      <w:r>
        <w:t xml:space="preserve"> rozporządzenia w sprawie SURE. </w:t>
      </w:r>
    </w:p>
  </w:footnote>
  <w:footnote w:id="20">
    <w:p w14:paraId="74BF2403" w14:textId="19A41D5B" w:rsidR="005C6E72" w:rsidRPr="001E0A0D" w:rsidRDefault="005C6E72" w:rsidP="009D29AB">
      <w:pPr>
        <w:pStyle w:val="FootnoteText"/>
        <w:spacing w:after="0"/>
        <w:ind w:left="0" w:firstLine="0"/>
      </w:pPr>
      <w:r>
        <w:rPr>
          <w:rStyle w:val="FootnoteReference"/>
        </w:rPr>
        <w:footnoteRef/>
      </w:r>
      <w:r>
        <w:t xml:space="preserve"> Nie uwzględniono jeszcze nowych środków przedstawionych przez państwa członkowskie w czasie składania zaktualizowanego sprawozdania, gdyż nie zostały one jeszcze ocenione pod kątem kwalifikowalności.</w:t>
      </w:r>
    </w:p>
  </w:footnote>
  <w:footnote w:id="21">
    <w:p w14:paraId="63D58F88" w14:textId="010D7D0F" w:rsidR="005C6E72" w:rsidRPr="00A65305" w:rsidRDefault="005C6E72" w:rsidP="009D29AB">
      <w:pPr>
        <w:pStyle w:val="FootnoteText"/>
        <w:spacing w:after="0"/>
        <w:ind w:left="0" w:firstLine="0"/>
      </w:pPr>
      <w:r>
        <w:rPr>
          <w:rStyle w:val="FootnoteReference"/>
        </w:rPr>
        <w:footnoteRef/>
      </w:r>
      <w:r>
        <w:t xml:space="preserve"> Kwalifikujące się środki oznaczają środki opisane w </w:t>
      </w:r>
      <w:r w:rsidRPr="00A467B6">
        <w:t>art. 3</w:t>
      </w:r>
      <w:r>
        <w:t xml:space="preserve"> </w:t>
      </w:r>
      <w:r w:rsidRPr="00A467B6">
        <w:t>ust. 2</w:t>
      </w:r>
      <w:r>
        <w:t xml:space="preserve"> rozporządzenia: krajowe mechanizmy zmniejszonego wymiaru czasu pracy lub podobne środki, a także, dodatkowo, środki ochrony zdrowia. </w:t>
      </w:r>
    </w:p>
  </w:footnote>
  <w:footnote w:id="22">
    <w:p w14:paraId="12F04BC5" w14:textId="3683EB91" w:rsidR="005C6E72" w:rsidRPr="00525954" w:rsidRDefault="005C6E72" w:rsidP="009D29AB">
      <w:pPr>
        <w:pStyle w:val="FootnoteText"/>
        <w:spacing w:after="0"/>
        <w:ind w:left="0" w:firstLine="0"/>
      </w:pPr>
      <w:r>
        <w:rPr>
          <w:rStyle w:val="FootnoteReference"/>
        </w:rPr>
        <w:footnoteRef/>
      </w:r>
      <w:r>
        <w:t xml:space="preserve"> Komisja konsekwentnie kierowała do państw członkowskich – w kontaktach dwustronnych i wspólnie z Radą – wytyczne, że kwota na takie środki nie powinna przekroczyć 1</w:t>
      </w:r>
      <w:r w:rsidRPr="00A467B6">
        <w:t>5 %</w:t>
      </w:r>
      <w:r>
        <w:t xml:space="preserve"> przyznanej kwoty. </w:t>
      </w:r>
    </w:p>
  </w:footnote>
  <w:footnote w:id="23">
    <w:p w14:paraId="2797859B" w14:textId="331210AB" w:rsidR="005C6E72" w:rsidRPr="00D11651" w:rsidRDefault="005C6E72" w:rsidP="009D29AB">
      <w:pPr>
        <w:pStyle w:val="FootnoteText"/>
        <w:spacing w:after="0"/>
        <w:ind w:left="0" w:firstLine="0"/>
      </w:pPr>
      <w:r>
        <w:rPr>
          <w:rStyle w:val="FootnoteReference"/>
        </w:rPr>
        <w:footnoteRef/>
      </w:r>
      <w:r>
        <w:t xml:space="preserve"> W tym przypadku płace oblicza się jako wynagrodzenia pracowników i nadwyżki operacyjne brutto powiększone o dochód mieszany gospodarstw domowych i instytucji niekomercyjnych działających na rzecz gospodarstw domowych (płace osób samozatrudnionych). </w:t>
      </w:r>
    </w:p>
  </w:footnote>
  <w:footnote w:id="24">
    <w:p w14:paraId="7AED5842" w14:textId="71118232" w:rsidR="005C6E72" w:rsidRPr="00600BA8" w:rsidRDefault="005C6E72" w:rsidP="009D29AB">
      <w:pPr>
        <w:pStyle w:val="FootnoteText"/>
        <w:spacing w:after="0"/>
        <w:ind w:left="0" w:firstLine="0"/>
      </w:pPr>
      <w:r>
        <w:rPr>
          <w:rStyle w:val="FootnoteReference"/>
        </w:rPr>
        <w:footnoteRef/>
      </w:r>
      <w:r>
        <w:t xml:space="preserve"> O ile dane dotyczące wydatków publicznych zgłoszone przez państwa członkowskie były zadowalające, to jednak dane wymagane przez Komisję na temat przedsiębiorstw i osób, które skorzystały ze środków objętych wsparciem w ramach SURE były niekompletne i różniły się w poszczególnych państwach członkowskich. W związku z tym konieczne było zastosowanie racjonalnych założeń i bazowanie na innych dostępnych źródłach danych (zob. przypisy 26 i 28). Z uwagi na niekompletność danych zgłoszonych przez państwa członkowskie w niniejszym sprawozdaniu przedstawiono zatem orientacyjne szacunki dotyczące osób i przedsiębiorstw objętych wsparciem. Państwa członkowskie są odpowiedzialne za zgłaszanie danych. Należy zauważyć, że Komisja wymaga od państw członkowskich informacji dotyczących przedsiębiorstw i pracowników w związku ze spoczywającym na niej zadaniem, określonym w sekcji 2.4 ram dotyczących unijnych obligacji społecznych SURE, uzyskania od państw członkowskich korzystających z pomocy odpowiednich danych i wskaźników, takich jak liczba miejsc pracy i liczba przedsiębiorstw objętych pomocą/wsparciem. Sprawozdawczość dotycząca wpływu będzie zależała od jakości i stopnia szczegółowości informacji przekazywanych Komisji.</w:t>
      </w:r>
    </w:p>
  </w:footnote>
  <w:footnote w:id="25">
    <w:p w14:paraId="7E5FCAB8" w14:textId="03FF8BB1" w:rsidR="005C6E72" w:rsidRPr="00740E73" w:rsidRDefault="005C6E72" w:rsidP="009D29AB">
      <w:pPr>
        <w:pStyle w:val="FootnoteText"/>
        <w:spacing w:after="0"/>
        <w:ind w:left="0" w:firstLine="0"/>
      </w:pPr>
      <w:r>
        <w:rPr>
          <w:rStyle w:val="FootnoteReference"/>
        </w:rPr>
        <w:footnoteRef/>
      </w:r>
      <w:r>
        <w:t xml:space="preserve"> Udział ten stanowi orientacyjne szacunki, gdyż dostępne dane na temat pracowników objętych mechanizmami zmniejszonego wymiaru czasu pracy dotyczą jedynie liczby osób, które złożyły wniosek o objęcie mechanizmami zmniejszonego wymiaru czasu pracy, opierają się na wartościach szczytowych z przełomu kwietnia i maja 20</w:t>
      </w:r>
      <w:r w:rsidRPr="00A467B6">
        <w:t>20 r.</w:t>
      </w:r>
      <w:r>
        <w:t xml:space="preserve"> oraz nie obejmują osób samozatrudnionych. Aby w większym stopniu dostosować te dane do danych dotyczących zasięgu SURE, wyłączyliśmy osoby samozatrudnione z zasięgu SURE i przyjęliśmy, że „podobne środki” obejmują mechanizmy zmniejszonego wymiaru czasu pracy.</w:t>
      </w:r>
    </w:p>
  </w:footnote>
  <w:footnote w:id="26">
    <w:p w14:paraId="3BF0E0AB" w14:textId="08C08A08" w:rsidR="005C6E72" w:rsidRPr="00600BA8" w:rsidRDefault="005C6E72" w:rsidP="009D29AB">
      <w:pPr>
        <w:pStyle w:val="FootnoteText"/>
        <w:spacing w:after="0"/>
        <w:ind w:left="0" w:firstLine="0"/>
      </w:pPr>
      <w:r>
        <w:rPr>
          <w:rStyle w:val="FootnoteReference"/>
        </w:rPr>
        <w:footnoteRef/>
      </w:r>
      <w:r>
        <w:t xml:space="preserve"> Czechy nie przedstawiły żadnych zaktualizowanych informacji na temat zakresu wsparcia. W zagregowanych danych przyjęto podobny zakres wsparcia zatrudnienia jak w pozostałych państwach członkowskich, tj. założono, że wsparciem objęto blisko jedną czwartą wszystkich pracujących. Jeżeli jednak potwierdziłyby się dane przedstawione przez Czechy w tabeli sprawozdawczej z sierpnia 20</w:t>
      </w:r>
      <w:r w:rsidRPr="00A467B6">
        <w:t>20 r.</w:t>
      </w:r>
      <w:r>
        <w:t xml:space="preserve">, zagregowana szacunkowa liczba osób objętych wsparciem w ramach SURE wzrosłaby </w:t>
      </w:r>
      <w:r w:rsidRPr="00A467B6">
        <w:t>do 2</w:t>
      </w:r>
      <w:r>
        <w:t>7,5 mln osób. Na wykresie 7 przedstawiono informacje w podziale na państwa członkowskie odpowiadające informacjom zgłoszonym przez państwa członkowskie. Środkami SURE w znacznie większym zakresie objęto zatrudnienie niż koszty wynagrodzeń. Wynika to między innymi z faktu, że niektóre osoby mogły korzystać ze wsparcia jedynie w niektórych miesiącach, a nie w ciągu całego roku, za który wypłacano wynagrodzenia.</w:t>
      </w:r>
    </w:p>
  </w:footnote>
  <w:footnote w:id="27">
    <w:p w14:paraId="22E7C249" w14:textId="3A352425" w:rsidR="005C6E72" w:rsidRPr="00D95D28" w:rsidRDefault="005C6E72" w:rsidP="009D29AB">
      <w:pPr>
        <w:pStyle w:val="FootnoteText"/>
        <w:spacing w:after="0"/>
        <w:ind w:left="0" w:firstLine="0"/>
      </w:pPr>
      <w:r>
        <w:rPr>
          <w:rStyle w:val="FootnoteReference"/>
        </w:rPr>
        <w:footnoteRef/>
      </w:r>
      <w:r>
        <w:t xml:space="preserve"> Dane na temat objęcia wsparciem przedsiębiorstw przekazało 14 następujących państw członkowskich: Belgia, Bułgaria, Cypr, Chorwacja, Węgry, Irlandia, Łotwa, Litwa, Malta, Polska, Portugalia, Rumunia, Słowacja i Słowenia. Czechy przekazały dane wyłącznie we wstępnym sprawozdaniu. </w:t>
      </w:r>
    </w:p>
  </w:footnote>
  <w:footnote w:id="28">
    <w:p w14:paraId="30152CE8" w14:textId="3C31EC83" w:rsidR="005C6E72" w:rsidRPr="004050BE" w:rsidRDefault="005C6E72" w:rsidP="009D29AB">
      <w:pPr>
        <w:pStyle w:val="FootnoteText"/>
        <w:spacing w:after="0"/>
        <w:ind w:left="0" w:firstLine="0"/>
      </w:pPr>
      <w:r>
        <w:rPr>
          <w:rStyle w:val="FootnoteReference"/>
        </w:rPr>
        <w:footnoteRef/>
      </w:r>
      <w:r>
        <w:t xml:space="preserve"> Jeżeli chodzi o dolną wartość szacunkową wynoszącą 1½ mln, w szacunku tym zakłada się podobne objęcie wsparciem przedsiębiorstw w tych czterech państwach członkowskich. W górnej wartości szacunkowej (2½ mln) uwzględniono fakt, że objęcie wsparciem pracowników w tych czterech państwach członkowskich jest średnio wyższe, co może przełożyć się na wyższe objęcie wsparciem przedsiębiorstw.</w:t>
      </w:r>
    </w:p>
  </w:footnote>
  <w:footnote w:id="29">
    <w:p w14:paraId="37689793" w14:textId="009DF3CA" w:rsidR="005C6E72" w:rsidRPr="000C43EC" w:rsidRDefault="005C6E72" w:rsidP="009D5A66">
      <w:pPr>
        <w:pStyle w:val="FootnoteText"/>
        <w:spacing w:after="0"/>
        <w:ind w:left="0" w:firstLine="0"/>
        <w:rPr>
          <w:lang w:val="en-US"/>
        </w:rPr>
      </w:pPr>
      <w:r>
        <w:rPr>
          <w:rStyle w:val="FootnoteReference"/>
        </w:rPr>
        <w:footnoteRef/>
      </w:r>
      <w:r>
        <w:t xml:space="preserve"> W literaturze ekonomicznej wrażliwość bezrobocia na zmiany wzrostu gospodarczego często nazywa się „prawem Okuna”. Prawo Okuna jest raczej empiryczną praktyczną zasadą niż zależnością popartą teorią i wskazuje ono, że spadek wzrostu produkcji o 2–</w:t>
      </w:r>
      <w:r w:rsidRPr="00A467B6">
        <w:t>3 %</w:t>
      </w:r>
      <w:r>
        <w:t xml:space="preserve"> wiąże się ze wzrostem stopy bezrobocia o jeden punkt procentowy (zob. </w:t>
      </w:r>
      <w:r w:rsidRPr="000C43EC">
        <w:rPr>
          <w:lang w:val="en-US"/>
        </w:rPr>
        <w:t>A. M. Okun, „Potential GNP: Its Measurement and Significance” [„Potencjalny PNB: pomiar i</w:t>
      </w:r>
      <w:r>
        <w:rPr>
          <w:lang w:val="en-US"/>
        </w:rPr>
        <w:t> </w:t>
      </w:r>
      <w:r w:rsidRPr="000C43EC">
        <w:rPr>
          <w:lang w:val="en-US"/>
        </w:rPr>
        <w:t>znaczenie”], Proceedings of the Business and Economic Statistics Section, American Statistical Association, 1962).</w:t>
      </w:r>
    </w:p>
  </w:footnote>
  <w:footnote w:id="30">
    <w:p w14:paraId="428BAD55" w14:textId="1A71C0F9" w:rsidR="005C6E72" w:rsidRDefault="005C6E72" w:rsidP="009D29AB">
      <w:pPr>
        <w:pStyle w:val="FootnoteText"/>
        <w:spacing w:after="0"/>
      </w:pPr>
      <w:r>
        <w:rPr>
          <w:rStyle w:val="FootnoteReference"/>
        </w:rPr>
        <w:footnoteRef/>
      </w:r>
      <w:r>
        <w:t xml:space="preserve"> We Włoszech w 20</w:t>
      </w:r>
      <w:r w:rsidRPr="00A467B6">
        <w:t>20 r.</w:t>
      </w:r>
      <w:r>
        <w:t xml:space="preserve"> stopa bezrobocia wręcz spadła.</w:t>
      </w:r>
    </w:p>
  </w:footnote>
  <w:footnote w:id="31">
    <w:p w14:paraId="038561EF" w14:textId="65B6F41C" w:rsidR="005C6E72" w:rsidRPr="001F2EBF" w:rsidRDefault="005C6E72" w:rsidP="009D29AB">
      <w:pPr>
        <w:pStyle w:val="FootnoteText"/>
        <w:spacing w:after="0"/>
      </w:pPr>
      <w:r>
        <w:rPr>
          <w:rStyle w:val="FootnoteReference"/>
        </w:rPr>
        <w:footnoteRef/>
      </w:r>
      <w:r>
        <w:t xml:space="preserve"> Na przykład rozdział 3 publikacji Komisji Europejskiej z 20</w:t>
      </w:r>
      <w:r w:rsidRPr="00A467B6">
        <w:t>20 r.</w:t>
      </w:r>
      <w:r>
        <w:t xml:space="preserve"> pt.: „Labour Market and Wage Developments </w:t>
      </w:r>
      <w:r w:rsidRPr="00A467B6">
        <w:t>in 2</w:t>
      </w:r>
      <w:r>
        <w:t>020” [„Rynek pracy i dynamika płac w 20</w:t>
      </w:r>
      <w:r w:rsidRPr="00A467B6">
        <w:t>20 r.</w:t>
      </w:r>
      <w:r>
        <w:t>”].</w:t>
      </w:r>
    </w:p>
  </w:footnote>
  <w:footnote w:id="32">
    <w:p w14:paraId="2F0ACF50" w14:textId="17357155" w:rsidR="005C6E72" w:rsidRPr="002E1C9D" w:rsidRDefault="005C6E72" w:rsidP="009D29AB">
      <w:pPr>
        <w:pStyle w:val="FootnoteText"/>
        <w:spacing w:after="0"/>
        <w:ind w:left="0" w:firstLine="0"/>
      </w:pPr>
      <w:r>
        <w:rPr>
          <w:rStyle w:val="FootnoteReference"/>
        </w:rPr>
        <w:footnoteRef/>
      </w:r>
      <w:r>
        <w:t xml:space="preserve"> Również rozszerzone zakupy aktywów przez EBC w ramach nadzwyczajnego programu zakupów w czasie pandemii wyraźnie odegrały istotną rolę w ograniczeniu niepewności na rynkach. Ponadto zgodnie z biuletynem ekonomicznym EBC z dnia 7 stycznia 20</w:t>
      </w:r>
      <w:r w:rsidRPr="00A467B6">
        <w:t>21 r.</w:t>
      </w:r>
      <w:r>
        <w:t xml:space="preserve"> programy Next Generation EU oraz SURE prawdopodobnie przyczyniły się do kompresji spreadów poprzez poprawę wzrostu i perspektyw fiskalnych w państwach członkowskich, a także nastrojów związanych z ryzykiem (</w:t>
      </w:r>
      <w:hyperlink r:id="rId4" w:history="1">
        <w:r>
          <w:rPr>
            <w:rStyle w:val="Hyperlink"/>
          </w:rPr>
          <w:t>https://www.ecb.europa.eu/pub/economic-bulletin/html/eb202008.en.html</w:t>
        </w:r>
      </w:hyperlink>
      <w:r>
        <w:t xml:space="preserve">). </w:t>
      </w:r>
    </w:p>
  </w:footnote>
  <w:footnote w:id="33">
    <w:p w14:paraId="4CC00076" w14:textId="486FFEE1" w:rsidR="005C6E72" w:rsidRPr="00C56A24" w:rsidRDefault="005C6E72" w:rsidP="009D29AB">
      <w:pPr>
        <w:pStyle w:val="FootnoteText"/>
        <w:spacing w:after="0"/>
        <w:ind w:left="0" w:firstLine="0"/>
      </w:pPr>
      <w:r>
        <w:rPr>
          <w:rStyle w:val="FootnoteReference"/>
        </w:rPr>
        <w:footnoteRef/>
      </w:r>
      <w:r>
        <w:t xml:space="preserve"> Aby lepiej zrozumieć możliwą rolę SURE w tworzeniu i stosowaniu mechanizmów zmniejszonego wymiaru czasu pracy oraz podobnych środków na poziomie krajowym w kontekście pandemii COVID-19, Komisja bezpośrednio zwróciła się do organów państw członkowskich o przedstawienie opinii za pośrednictwem kwestionariusza przekazanego Komitetowi ds. Zatrudnienia. Odpowiedzi na kwestionariusz przekazało 15 spośród 19 państw członkowskich, które wystąpiły o wsparcie w ramach SURE.</w:t>
      </w:r>
    </w:p>
  </w:footnote>
  <w:footnote w:id="34">
    <w:p w14:paraId="7CDE84E2" w14:textId="5BC4B7A5" w:rsidR="005C6E72" w:rsidRPr="00F139FD" w:rsidRDefault="005C6E72" w:rsidP="009D29AB">
      <w:pPr>
        <w:pStyle w:val="FootnoteText"/>
        <w:spacing w:after="0"/>
        <w:ind w:left="0" w:firstLine="0"/>
      </w:pPr>
      <w:r>
        <w:rPr>
          <w:rStyle w:val="FootnoteReference"/>
        </w:rPr>
        <w:footnoteRef/>
      </w:r>
      <w:r>
        <w:t xml:space="preserve"> Bułgaria, Chorwacja, Cypr, Grecja, Litwa, Łotwa, Rumunia, Słowenia i Węgry. Węgry zdecydowały się finansować swój nowy mechanizm zmniejszonego wymiaru czasu pracy wprowadzony w odpowiedzi na kryzys związany z COVID-19, polegając na europejskich funduszach strukturalnych i inwestycyjnych w kontekście CRII i CRII+, i nie ubiegały się o ich finansowanie w ramach SURE. </w:t>
      </w:r>
    </w:p>
  </w:footnote>
  <w:footnote w:id="35">
    <w:p w14:paraId="7F9CC005" w14:textId="49875E6F" w:rsidR="005C6E72" w:rsidRPr="00FB357E" w:rsidRDefault="005C6E72" w:rsidP="009D29AB">
      <w:pPr>
        <w:pStyle w:val="FootnoteText"/>
        <w:spacing w:after="0"/>
        <w:ind w:left="0" w:firstLine="0"/>
      </w:pPr>
      <w:r>
        <w:rPr>
          <w:rStyle w:val="FootnoteReference"/>
        </w:rPr>
        <w:footnoteRef/>
      </w:r>
      <w:r>
        <w:t xml:space="preserve"> Belgia, Hiszpania, Irlandia i Włochy. Irlandia nie ubiegała się o wsparcie w ramach SURE na finansowanie swojego istniejącego mechanizmu zmniejszonego wymiaru czasu pracy (ustanowionego w ramach „zasiłku dla osób poszukujących pracy”).</w:t>
      </w:r>
    </w:p>
  </w:footnote>
  <w:footnote w:id="36">
    <w:p w14:paraId="3B7F6BA4" w14:textId="7A045B03" w:rsidR="005C6E72" w:rsidRPr="007209EA" w:rsidRDefault="005C6E72" w:rsidP="009D29AB">
      <w:pPr>
        <w:pStyle w:val="FootnoteText"/>
        <w:spacing w:after="0"/>
        <w:ind w:left="0" w:firstLine="0"/>
      </w:pPr>
      <w:r>
        <w:rPr>
          <w:rStyle w:val="FootnoteReference"/>
        </w:rPr>
        <w:footnoteRef/>
      </w:r>
      <w:r>
        <w:t xml:space="preserve"> W tabeli II.1 wykorzystano informacje przekazane przez państwa członkowskie we wnioskach o wsparcie finansowe w ramach SURE. W tabeli zestawiono daty przyjęcia aktów prawnych dotyczących mechanizmów zmniejszonego wymiaru czasu pracy i podobnych środków. </w:t>
      </w:r>
    </w:p>
  </w:footnote>
  <w:footnote w:id="37">
    <w:p w14:paraId="225134BE" w14:textId="3D6E3098" w:rsidR="005C6E72" w:rsidRPr="00A14A6C" w:rsidRDefault="005C6E72" w:rsidP="009D29AB">
      <w:pPr>
        <w:pStyle w:val="FootnoteText"/>
        <w:spacing w:after="0"/>
        <w:ind w:left="0" w:firstLine="0"/>
      </w:pPr>
      <w:r>
        <w:rPr>
          <w:rStyle w:val="FootnoteReference"/>
        </w:rPr>
        <w:footnoteRef/>
      </w:r>
      <w:r>
        <w:t xml:space="preserve"> Te „podobne” mechanizmy ustanowiono przed dniem 2 kwietnia (na Cyprze, w Grecji, Irlandii, Polsce i Słowenii), po dniu 2 kwietnia (w Hiszpanii, na Węgrzech i w Czechach) lub – w miarę postępowania kryzysu – w różnych momentach od marca do lipca 20</w:t>
      </w:r>
      <w:r w:rsidRPr="00A467B6">
        <w:t>20 r.</w:t>
      </w:r>
      <w:r>
        <w:t xml:space="preserve"> (w Belgii, we Włoszech, na Litwie, Łotwie, Malcie i w Rumunii, zob. tabela II.1).</w:t>
      </w:r>
    </w:p>
  </w:footnote>
  <w:footnote w:id="38">
    <w:p w14:paraId="20611F6A" w14:textId="77777777" w:rsidR="005C6E72" w:rsidRPr="00EC7976" w:rsidRDefault="005C6E72" w:rsidP="009D29AB">
      <w:pPr>
        <w:pStyle w:val="FootnoteText"/>
      </w:pPr>
      <w:r>
        <w:rPr>
          <w:rStyle w:val="FootnoteReference"/>
        </w:rPr>
        <w:footnoteRef/>
      </w:r>
      <w:r>
        <w:t xml:space="preserve"> Zob. przypis 33. </w:t>
      </w:r>
    </w:p>
  </w:footnote>
  <w:footnote w:id="39">
    <w:p w14:paraId="48FED670" w14:textId="77777777" w:rsidR="005C6E72" w:rsidRPr="00EC7976" w:rsidRDefault="005C6E72" w:rsidP="009D29AB">
      <w:pPr>
        <w:pStyle w:val="FootnoteText"/>
        <w:spacing w:after="0"/>
      </w:pPr>
      <w:r>
        <w:rPr>
          <w:rStyle w:val="FootnoteReference"/>
        </w:rPr>
        <w:footnoteRef/>
      </w:r>
      <w:r>
        <w:t xml:space="preserve"> Zob. przypis 33.</w:t>
      </w:r>
    </w:p>
  </w:footnote>
  <w:footnote w:id="40">
    <w:p w14:paraId="7375519D" w14:textId="09F26B00" w:rsidR="005C6E72" w:rsidRPr="003C46AE" w:rsidRDefault="005C6E72" w:rsidP="009D29AB">
      <w:pPr>
        <w:pStyle w:val="FootnoteText"/>
        <w:spacing w:after="0"/>
        <w:ind w:left="0" w:firstLine="0"/>
      </w:pPr>
      <w:r>
        <w:rPr>
          <w:rStyle w:val="FootnoteReference"/>
        </w:rPr>
        <w:footnoteRef/>
      </w:r>
      <w:r>
        <w:t xml:space="preserve"> SURE był jednym z pierwszych elementów bezprecedensowej reakcji UE na bezprecedensowy kryzys. W państwach członkowskich, które są największymi beneficjentami SURE, ta ogólna reakcja odegrała istotną rolę w utrzymaniu stopy zwrotu z długu publicznego na wyjątkowo niskim poziomie. Szacunki te wyłączają możliwy dodatkowy efekt, który nowe instrumenty nadzwyczajne, w tym SURE, mogły wywrzeć na zaufanie ze strony podmiotów gospodarczych oraz rozpiętość stóp procentowych dla pozyskiwania środków przez poszczególne państwa członkowskie (zob. przypis 32 powyżej).</w:t>
      </w:r>
    </w:p>
  </w:footnote>
  <w:footnote w:id="41">
    <w:p w14:paraId="76C8E673" w14:textId="2DD34152" w:rsidR="005C6E72" w:rsidRPr="0060036D" w:rsidRDefault="005C6E72" w:rsidP="009D29AB">
      <w:pPr>
        <w:pStyle w:val="FootnoteText"/>
        <w:spacing w:after="0"/>
      </w:pPr>
      <w:r>
        <w:rPr>
          <w:rStyle w:val="FootnoteReference"/>
        </w:rPr>
        <w:footnoteRef/>
      </w:r>
      <w:r>
        <w:t xml:space="preserve"> Art. 14 </w:t>
      </w:r>
      <w:r w:rsidRPr="00A467B6">
        <w:t>ust. 1</w:t>
      </w:r>
      <w:r>
        <w:t xml:space="preserve"> rozporządzenia w sprawie SURE. </w:t>
      </w:r>
    </w:p>
  </w:footnote>
  <w:footnote w:id="42">
    <w:p w14:paraId="143DB1B5" w14:textId="799B4F04" w:rsidR="005C6E72" w:rsidRPr="00170979" w:rsidRDefault="005C6E72" w:rsidP="009D29AB">
      <w:pPr>
        <w:pStyle w:val="FootnoteText"/>
        <w:spacing w:after="0"/>
        <w:ind w:left="0" w:firstLine="0"/>
        <w:jc w:val="left"/>
      </w:pPr>
      <w:r>
        <w:rPr>
          <w:rStyle w:val="FootnoteReference"/>
        </w:rPr>
        <w:footnoteRef/>
      </w:r>
      <w:r>
        <w:t xml:space="preserve"> Dane pochodzą z Europejskiego Centrum ds. Zapobiegania i Kontroli Chorób: </w:t>
      </w:r>
      <w:hyperlink r:id="rId5" w:history="1">
        <w:r>
          <w:rPr>
            <w:rStyle w:val="Hyperlink"/>
          </w:rPr>
          <w:t>https://www.ecdc.europa.eu/en/publications-data/data-national-14-day-notification-rate-covid-19</w:t>
        </w:r>
      </w:hyperlink>
      <w:r>
        <w:t xml:space="preserve"> </w:t>
      </w:r>
    </w:p>
  </w:footnote>
  <w:footnote w:id="43">
    <w:p w14:paraId="1DD71DD6" w14:textId="0AA90FEA" w:rsidR="005C6E72" w:rsidRPr="00F942CA" w:rsidRDefault="005C6E72" w:rsidP="009D29AB">
      <w:pPr>
        <w:pStyle w:val="FootnoteText"/>
        <w:spacing w:after="0"/>
        <w:ind w:left="0" w:firstLine="0"/>
      </w:pPr>
      <w:r>
        <w:rPr>
          <w:rStyle w:val="FootnoteReference"/>
        </w:rPr>
        <w:footnoteRef/>
      </w:r>
      <w:r>
        <w:t xml:space="preserve"> Europejska prognoza gospodarcza, zima 20</w:t>
      </w:r>
      <w:r w:rsidRPr="00A467B6">
        <w:t>21 r.</w:t>
      </w:r>
      <w:r>
        <w:t xml:space="preserve"> (tymczasowa), European Economy Institutional Papers </w:t>
      </w:r>
      <w:r w:rsidRPr="00A467B6">
        <w:t>nr 1</w:t>
      </w:r>
      <w:r>
        <w:t xml:space="preserve">44 – </w:t>
      </w:r>
      <w:hyperlink r:id="rId6" w:history="1">
        <w:r>
          <w:rPr>
            <w:rStyle w:val="Hyperlink"/>
          </w:rPr>
          <w:t>https://ec.europa.eu/info/sites/info/files/economy-finance/ip144_en_1.pdf</w:t>
        </w:r>
      </w:hyperlink>
      <w:r>
        <w:t xml:space="preserve"> </w:t>
      </w:r>
    </w:p>
  </w:footnote>
  <w:footnote w:id="44">
    <w:p w14:paraId="60A04D3E" w14:textId="03B67E3C" w:rsidR="005C6E72" w:rsidRPr="000E2CBA" w:rsidRDefault="005C6E72" w:rsidP="009D29AB">
      <w:pPr>
        <w:pStyle w:val="FootnoteText"/>
        <w:spacing w:after="0"/>
        <w:ind w:left="0" w:firstLine="0"/>
      </w:pPr>
      <w:r>
        <w:rPr>
          <w:rStyle w:val="FootnoteReference"/>
        </w:rPr>
        <w:footnoteRef/>
      </w:r>
      <w:r>
        <w:t xml:space="preserve"> Zastój na rynku pracy definiuje się jako sumę osób bezrobotnych, osób zatrudnionych w niepełnym wymiarze czasu pracy nie z własnej woli, osób poszukujących pracy, ale niebędących natychmiastowo dyspozycyjnymi, oraz osób dostępnych do podjęcia pracy, ale jej nieposzukujących, wyrażoną jako odsetek rozszerzonej siły roboczej. Więcej informacji można znaleźć w prognozie Komisji Europejskiej z zimy 20</w:t>
      </w:r>
      <w:r w:rsidRPr="00A467B6">
        <w:t>21 r.</w:t>
      </w:r>
    </w:p>
  </w:footnote>
  <w:footnote w:id="45">
    <w:p w14:paraId="00C02DB3" w14:textId="55F71105" w:rsidR="005C6E72" w:rsidRPr="00B36146" w:rsidRDefault="005C6E72" w:rsidP="009D29AB">
      <w:pPr>
        <w:pStyle w:val="FootnoteText"/>
        <w:spacing w:after="0"/>
        <w:ind w:left="0" w:firstLine="0"/>
      </w:pPr>
      <w:r>
        <w:rPr>
          <w:rStyle w:val="FootnoteReference"/>
        </w:rPr>
        <w:footnoteRef/>
      </w:r>
      <w:r>
        <w:t xml:space="preserve"> Zgodnie z prognozą Komisji Europejskiej z jesieni 20</w:t>
      </w:r>
      <w:r w:rsidRPr="00A467B6">
        <w:t>20 r.</w:t>
      </w:r>
    </w:p>
  </w:footnote>
  <w:footnote w:id="46">
    <w:p w14:paraId="67A5EE43" w14:textId="3DE09046" w:rsidR="005C6E72" w:rsidRPr="00A44CB3" w:rsidRDefault="005C6E72" w:rsidP="009D29AB">
      <w:pPr>
        <w:pStyle w:val="FootnoteText"/>
        <w:spacing w:after="0"/>
        <w:ind w:left="0" w:firstLine="0"/>
      </w:pPr>
      <w:r>
        <w:rPr>
          <w:rStyle w:val="FootnoteReference"/>
        </w:rPr>
        <w:footnoteRef/>
      </w:r>
      <w:r>
        <w:t xml:space="preserve"> W komunikacie do Rady (COM(2021) 105) „Rok od wybuchu pandemii COVID-19:</w:t>
      </w:r>
      <w:r>
        <w:rPr>
          <w:i/>
        </w:rPr>
        <w:t xml:space="preserve"> </w:t>
      </w:r>
      <w:r>
        <w:t>działania z zakresu polityki fiskalnej” Komisja zauważyła, że „należy unikać przedwczesnego wycofywania wsparcia fiskalnego. Polityka fiskalna jest skutecznym narzędziem, zwłaszcza w warunkach niepewności. Zagrożenia wynikające z wcześniejszego wycofania są większe niż te związane z utrzymywaniem środków wsparcia przez zbyt długi okres”.</w:t>
      </w:r>
    </w:p>
  </w:footnote>
  <w:footnote w:id="47">
    <w:p w14:paraId="6146E02D" w14:textId="27D9214D" w:rsidR="005C6E72" w:rsidRDefault="005C6E72" w:rsidP="0044230C">
      <w:pPr>
        <w:pStyle w:val="FootnoteText"/>
        <w:spacing w:after="0"/>
      </w:pPr>
      <w:r>
        <w:rPr>
          <w:rStyle w:val="FootnoteReference"/>
        </w:rPr>
        <w:footnoteRef/>
      </w:r>
      <w:r>
        <w:t xml:space="preserve"> https://ec.europa.eu/social/BlobServlet?docId=23699&amp;langId=en</w:t>
      </w:r>
    </w:p>
  </w:footnote>
  <w:footnote w:id="48">
    <w:p w14:paraId="63B2700F" w14:textId="77777777" w:rsidR="005C6E72" w:rsidRPr="006F5B42" w:rsidRDefault="005C6E72" w:rsidP="009D29AB">
      <w:pPr>
        <w:pStyle w:val="FootnoteText"/>
        <w:spacing w:after="0"/>
        <w:ind w:left="0" w:firstLine="0"/>
      </w:pPr>
      <w:r>
        <w:rPr>
          <w:rStyle w:val="FootnoteReference"/>
        </w:rPr>
        <w:footnoteRef/>
      </w:r>
      <w:r>
        <w:t xml:space="preserve"> </w:t>
      </w:r>
      <w:hyperlink r:id="rId7" w:history="1">
        <w:r>
          <w:rPr>
            <w:rStyle w:val="Hyperlink"/>
          </w:rPr>
          <w:t>https://www.icmagroup.org/assets/documents/Regulatory/Green-Bonds/June-2020/Social-Bond-PrinciplesJune-2020-090620.pdf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9F48" w14:textId="77777777" w:rsidR="00C54035" w:rsidRPr="00C54035" w:rsidRDefault="00C54035" w:rsidP="00C540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D4F3" w14:textId="77777777" w:rsidR="005C6E72" w:rsidRDefault="005C6E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6921" w14:textId="77777777" w:rsidR="005C6E72" w:rsidRDefault="005C6E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ED3F3" w14:textId="77777777" w:rsidR="005C6E72" w:rsidRDefault="005C6E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6C6B" w14:textId="77777777" w:rsidR="005C6E72" w:rsidRDefault="005C6E7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A065" w14:textId="77777777" w:rsidR="005C6E72" w:rsidRDefault="005C6E7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5B00" w14:textId="77777777" w:rsidR="005C6E72" w:rsidRDefault="005C6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46435" w14:textId="77777777" w:rsidR="00C54035" w:rsidRPr="00C54035" w:rsidRDefault="00C54035" w:rsidP="00C5403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A8C" w14:textId="77777777" w:rsidR="00C54035" w:rsidRPr="00C54035" w:rsidRDefault="00C54035" w:rsidP="00C5403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0838" w14:textId="77777777" w:rsidR="005C6E72" w:rsidRDefault="005C6E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8038" w14:textId="77777777" w:rsidR="005C6E72" w:rsidRDefault="005C6E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B006" w14:textId="77777777" w:rsidR="005C6E72" w:rsidRDefault="005C6E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89E4" w14:textId="77777777" w:rsidR="005C6E72" w:rsidRDefault="005C6E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73B0" w14:textId="77777777" w:rsidR="005C6E72" w:rsidRDefault="005C6E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6C1D" w14:textId="77777777" w:rsidR="005C6E72" w:rsidRDefault="005C6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6"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3580234A"/>
    <w:multiLevelType w:val="multilevel"/>
    <w:tmpl w:val="F9E434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9"/>
  </w:num>
  <w:num w:numId="8">
    <w:abstractNumId w:val="15"/>
  </w:num>
  <w:num w:numId="9">
    <w:abstractNumId w:val="4"/>
  </w:num>
  <w:num w:numId="10">
    <w:abstractNumId w:val="1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3"/>
  </w:num>
  <w:num w:numId="17">
    <w:abstractNumId w:val="20"/>
  </w:num>
  <w:num w:numId="18">
    <w:abstractNumId w:val="7"/>
  </w:num>
  <w:num w:numId="19">
    <w:abstractNumId w:val="21"/>
  </w:num>
  <w:num w:numId="20">
    <w:abstractNumId w:val="6"/>
  </w:num>
  <w:num w:numId="21">
    <w:abstractNumId w:val="1"/>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4"/>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23175B1-6589-4DFC-B37B-F3F574C8C4FD"/>
    <w:docVar w:name="LW_COVERPAGE_TYPE" w:val="1"/>
    <w:docVar w:name="LW_CROSSREFERENCE" w:val="&lt;UNUSED&gt;"/>
    <w:docVar w:name="LW_DocType" w:val="NORMAL"/>
    <w:docVar w:name="LW_EMISSION" w:val="22.3.2021"/>
    <w:docVar w:name="LW_EMISSION_ISODATE" w:val="2021-03-22"/>
    <w:docVar w:name="LW_EMISSION_LOCATION" w:val="BRX"/>
    <w:docVar w:name="LW_EMISSION_PREFIX" w:val="Bruksela, dnia "/>
    <w:docVar w:name="LW_EMISSION_SUFFIX" w:val=" r."/>
    <w:docVar w:name="LW_ID_DOCTYPE_NONLW" w:val="CP-035"/>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awozdanie dotycz\u261?ce europejskiego instrumentu tymczasowego wsparcia w celu zmniejszenia zagro\u380?e\u324? zwi\u261?zanych z bezrobociem w sytuacji nadzwyczajnej (SURE), jaka wyst\u261?pi\u322?a w zwi\u261?zku z pandemi\u261? COVID-19, na podstawie art. 14 rozporz\u261?dzenia Rady (UE) 2020/672 _x000d__x000d__x000d__x000b__x000d__x000d__x000d__x000b_SURE: analiza sytuacji po sze\u347?ciu miesi\u261?cach "/>
    <w:docVar w:name="LW_TYPE.DOC.CP" w:val="SPRAWOZDANIE KOMISJI DLA PARLAMENTU EUROPEJSKIEGO, RADY, KOMITETU EKONOMICZNO-FINANSOWEGO I KOMITETU DS. ZATRUDNIENIA"/>
  </w:docVars>
  <w:rsids>
    <w:rsidRoot w:val="009D29AB"/>
    <w:rsid w:val="000344D7"/>
    <w:rsid w:val="00044981"/>
    <w:rsid w:val="0006010B"/>
    <w:rsid w:val="0006795A"/>
    <w:rsid w:val="000B55BD"/>
    <w:rsid w:val="000C43EC"/>
    <w:rsid w:val="000C5D58"/>
    <w:rsid w:val="00111ACE"/>
    <w:rsid w:val="0015078F"/>
    <w:rsid w:val="00155BBD"/>
    <w:rsid w:val="00197CCF"/>
    <w:rsid w:val="001E6B64"/>
    <w:rsid w:val="00226FE9"/>
    <w:rsid w:val="002F4B4C"/>
    <w:rsid w:val="003700A8"/>
    <w:rsid w:val="003C680D"/>
    <w:rsid w:val="00421C43"/>
    <w:rsid w:val="00433F69"/>
    <w:rsid w:val="00435C38"/>
    <w:rsid w:val="0044230C"/>
    <w:rsid w:val="004A450C"/>
    <w:rsid w:val="004C24FF"/>
    <w:rsid w:val="004C79A4"/>
    <w:rsid w:val="00501D15"/>
    <w:rsid w:val="00547E5A"/>
    <w:rsid w:val="0057635F"/>
    <w:rsid w:val="005C6E72"/>
    <w:rsid w:val="005E26A2"/>
    <w:rsid w:val="006472F1"/>
    <w:rsid w:val="00661387"/>
    <w:rsid w:val="006833FA"/>
    <w:rsid w:val="006B011A"/>
    <w:rsid w:val="006B3088"/>
    <w:rsid w:val="00716AF6"/>
    <w:rsid w:val="007806A7"/>
    <w:rsid w:val="00832B23"/>
    <w:rsid w:val="008F47BA"/>
    <w:rsid w:val="00913181"/>
    <w:rsid w:val="009D29AB"/>
    <w:rsid w:val="009D5A66"/>
    <w:rsid w:val="00A467B6"/>
    <w:rsid w:val="00A61D5C"/>
    <w:rsid w:val="00A703F6"/>
    <w:rsid w:val="00A7663D"/>
    <w:rsid w:val="00A903D9"/>
    <w:rsid w:val="00AB4648"/>
    <w:rsid w:val="00AC3E81"/>
    <w:rsid w:val="00AF5A89"/>
    <w:rsid w:val="00B432F6"/>
    <w:rsid w:val="00BD13D0"/>
    <w:rsid w:val="00BF2959"/>
    <w:rsid w:val="00C033A3"/>
    <w:rsid w:val="00C25D4E"/>
    <w:rsid w:val="00C54035"/>
    <w:rsid w:val="00C97356"/>
    <w:rsid w:val="00CA7668"/>
    <w:rsid w:val="00D31C18"/>
    <w:rsid w:val="00D61F7B"/>
    <w:rsid w:val="00D87AEC"/>
    <w:rsid w:val="00DA1724"/>
    <w:rsid w:val="00DD3D62"/>
    <w:rsid w:val="00E62F46"/>
    <w:rsid w:val="00E658BC"/>
    <w:rsid w:val="00EC53F6"/>
    <w:rsid w:val="00F31FA4"/>
    <w:rsid w:val="00F44154"/>
    <w:rsid w:val="00F64CAE"/>
    <w:rsid w:val="00FB1D87"/>
    <w:rsid w:val="00FF09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27B2FA"/>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pl-PL"/>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pl-PL"/>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pl-PL"/>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pl-PL"/>
    </w:rPr>
  </w:style>
  <w:style w:type="character" w:customStyle="1" w:styleId="Heading5Char">
    <w:name w:val="Heading 5 Char"/>
    <w:basedOn w:val="DefaultParagraphFont"/>
    <w:link w:val="Heading5"/>
    <w:rsid w:val="009D29AB"/>
    <w:rPr>
      <w:rFonts w:ascii="Arial" w:eastAsia="Times New Roman" w:hAnsi="Arial" w:cs="Times New Roman"/>
      <w:szCs w:val="20"/>
      <w:lang w:val="pl-PL"/>
    </w:rPr>
  </w:style>
  <w:style w:type="character" w:customStyle="1" w:styleId="Heading6Char">
    <w:name w:val="Heading 6 Char"/>
    <w:basedOn w:val="DefaultParagraphFont"/>
    <w:link w:val="Heading6"/>
    <w:rsid w:val="009D29AB"/>
    <w:rPr>
      <w:rFonts w:ascii="Arial" w:eastAsia="Times New Roman" w:hAnsi="Arial" w:cs="Times New Roman"/>
      <w:i/>
      <w:szCs w:val="20"/>
      <w:lang w:val="pl-PL"/>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pl-PL"/>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pl-PL"/>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pl-PL"/>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sid w:val="009D29AB"/>
    <w:rPr>
      <w:rFonts w:ascii="Times New Roman" w:eastAsia="Times New Roman" w:hAnsi="Times New Roman" w:cs="Times New Roman"/>
      <w:sz w:val="20"/>
      <w:szCs w:val="20"/>
      <w:lang w:val="pl-PL"/>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26"/>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26"/>
    <w:qFormat/>
    <w:rsid w:val="009D29AB"/>
    <w:rPr>
      <w:rFonts w:ascii="Times New Roman" w:eastAsia="Times New Roman" w:hAnsi="Times New Roman" w:cs="Times New Roman"/>
      <w:sz w:val="24"/>
      <w:szCs w:val="20"/>
      <w:lang w:val="pl-P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pl-PL"/>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pl-PL"/>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pl-PL"/>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pl-PL"/>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emf"/><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footer" Target="footer10.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emf"/><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footer" Target="footer12.xml"/><Relationship Id="rId48" Type="http://schemas.openxmlformats.org/officeDocument/2006/relationships/header" Target="header15.xml"/><Relationship Id="rId8" Type="http://schemas.openxmlformats.org/officeDocument/2006/relationships/image" Target="media/image1.e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TXT/?uri=COM:2020:0139:FIN" TargetMode="External"/><Relationship Id="rId7" Type="http://schemas.openxmlformats.org/officeDocument/2006/relationships/hyperlink" Target="https://www.icmagroup.org/assets/documents/Regulatory/Green-Bonds/June-2020/Social-Bond-PrinciplesJune-2020-090620.pdf" TargetMode="External"/><Relationship Id="rId2" Type="http://schemas.openxmlformats.org/officeDocument/2006/relationships/hyperlink" Target="https://ec.europa.eu/info/strategy/eu-budget/eu-borrower/eu-borrowing-activities/eu-sure-social-bond-framework_en" TargetMode="External"/><Relationship Id="rId1" Type="http://schemas.openxmlformats.org/officeDocument/2006/relationships/hyperlink" Target="https://eur-lex.europa.eu/legal-content/PL/TXT/PDF/?uri=CELEX:32020R0672&amp;from=pl" TargetMode="External"/><Relationship Id="rId6" Type="http://schemas.openxmlformats.org/officeDocument/2006/relationships/hyperlink" Target="https://ec.europa.eu/info/sites/info/files/economy-finance/ip144_en_1.pdf" TargetMode="External"/><Relationship Id="rId5" Type="http://schemas.openxmlformats.org/officeDocument/2006/relationships/hyperlink" Target="https://www.ecdc.europa.eu/en/publications-data/data-national-14-day-notification-rate-covid-19" TargetMode="External"/><Relationship Id="rId4" Type="http://schemas.openxmlformats.org/officeDocument/2006/relationships/hyperlink" Target="https://www.ecb.europa.eu/pub/economic-bulletin/html/eb20200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26B08B-0926-4C64-8203-CFEB9D60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43</Pages>
  <Words>12141</Words>
  <Characters>71391</Characters>
  <Application>Microsoft Office Word</Application>
  <DocSecurity>0</DocSecurity>
  <Lines>2302</Lines>
  <Paragraphs>1265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11</cp:revision>
  <dcterms:created xsi:type="dcterms:W3CDTF">2021-03-17T13:33:00Z</dcterms:created>
  <dcterms:modified xsi:type="dcterms:W3CDTF">2021-04-06T08:06:00Z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7.0.1, Build 20190916</vt:lpwstr>
  </property>
</Properties>
</file>