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AFC6F" w14:textId="77777777" w:rsidR="00031CA5" w:rsidRPr="00A32DF1" w:rsidRDefault="00031CA5">
      <w:pPr>
        <w:spacing w:line="500" w:lineRule="exact"/>
        <w:jc w:val="center"/>
        <w:rPr>
          <w:rFonts w:ascii="新細明體"/>
          <w:spacing w:val="24"/>
        </w:rPr>
      </w:pPr>
      <w:r w:rsidRPr="00687B30">
        <w:rPr>
          <w:rFonts w:ascii="新細明體" w:hint="eastAsia"/>
          <w:spacing w:val="24"/>
        </w:rPr>
        <w:t xml:space="preserve">　　　　　　</w:t>
      </w:r>
      <w:r w:rsidRPr="00A32DF1">
        <w:rPr>
          <w:rFonts w:ascii="新細明體" w:hint="eastAsia"/>
          <w:spacing w:val="24"/>
        </w:rPr>
        <w:t>證券股份有限公司</w:t>
      </w:r>
    </w:p>
    <w:p w14:paraId="3C52E060" w14:textId="77777777" w:rsidR="00031CA5" w:rsidRPr="00A32DF1" w:rsidRDefault="00335C3B">
      <w:pPr>
        <w:spacing w:line="400" w:lineRule="exact"/>
        <w:jc w:val="center"/>
        <w:rPr>
          <w:rFonts w:ascii="新細明體"/>
          <w:spacing w:val="24"/>
        </w:rPr>
      </w:pPr>
      <w:r w:rsidRPr="00A32DF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7ACE939" wp14:editId="0F7BF71E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2172335" cy="343535"/>
                <wp:effectExtent l="19050" t="19050" r="37465" b="374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3535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87F1EC" w14:textId="77777777" w:rsidR="00031CA5" w:rsidRDefault="00A73669">
                            <w:r>
                              <w:rPr>
                                <w:rFonts w:hint="eastAsia"/>
                              </w:rPr>
                              <w:t>作業週期：每</w:t>
                            </w:r>
                            <w:r w:rsidR="000212A3" w:rsidRPr="007008D9">
                              <w:rPr>
                                <w:rFonts w:hint="eastAsia"/>
                              </w:rPr>
                              <w:t>半年</w:t>
                            </w:r>
                            <w:r w:rsidR="00031CA5">
                              <w:rPr>
                                <w:rFonts w:hint="eastAsia"/>
                              </w:rPr>
                              <w:t>至少查核乙次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CE939" id="Rectangle 2" o:spid="_x0000_s1026" style="position:absolute;left:0;text-align:left;margin-left:0;margin-top:2pt;width:171.05pt;height:27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" o:allowincell="f" filled="f" strokecolor="white" strokeweight="4pt">
                <v:textbox inset="1pt,1pt,1pt,1pt">
                  <w:txbxContent>
                    <w:p w14:paraId="7D87F1EC" w14:textId="77777777" w:rsidR="00031CA5" w:rsidRDefault="00A73669">
                      <w:r>
                        <w:rPr>
                          <w:rFonts w:hint="eastAsia"/>
                        </w:rPr>
                        <w:t>作業週期：每</w:t>
                      </w:r>
                      <w:r w:rsidR="000212A3" w:rsidRPr="007008D9">
                        <w:rPr>
                          <w:rFonts w:hint="eastAsia"/>
                        </w:rPr>
                        <w:t>半年</w:t>
                      </w:r>
                      <w:r w:rsidR="00031CA5">
                        <w:rPr>
                          <w:rFonts w:hint="eastAsia"/>
                        </w:rPr>
                        <w:t>至少查核乙次</w:t>
                      </w:r>
                    </w:p>
                  </w:txbxContent>
                </v:textbox>
              </v:rect>
            </w:pict>
          </mc:Fallback>
        </mc:AlternateContent>
      </w:r>
      <w:r w:rsidR="00031CA5" w:rsidRPr="00A32DF1">
        <w:rPr>
          <w:rFonts w:ascii="新細明體" w:hint="eastAsia"/>
        </w:rPr>
        <w:t>業務及收入循環：</w:t>
      </w:r>
      <w:r w:rsidR="00AE2FC7" w:rsidRPr="00A32DF1">
        <w:rPr>
          <w:rFonts w:ascii="新細明體" w:hint="eastAsia"/>
        </w:rPr>
        <w:t>櫃檯(其</w:t>
      </w:r>
      <w:r w:rsidR="00AE2FC7" w:rsidRPr="00A32DF1">
        <w:rPr>
          <w:rFonts w:ascii="新細明體"/>
        </w:rPr>
        <w:t>他</w:t>
      </w:r>
      <w:r w:rsidR="00AE2FC7" w:rsidRPr="00A32DF1">
        <w:rPr>
          <w:rFonts w:ascii="新細明體" w:hint="eastAsia"/>
        </w:rPr>
        <w:t>)</w:t>
      </w:r>
    </w:p>
    <w:p w14:paraId="5276A99A" w14:textId="77777777" w:rsidR="00031CA5" w:rsidRPr="00A32DF1" w:rsidRDefault="007C18EF">
      <w:pPr>
        <w:spacing w:line="300" w:lineRule="auto"/>
        <w:jc w:val="center"/>
        <w:rPr>
          <w:rFonts w:ascii="標楷體" w:eastAsia="標楷體"/>
          <w:spacing w:val="30"/>
        </w:rPr>
      </w:pPr>
      <w:r w:rsidRPr="00A32DF1">
        <w:rPr>
          <w:rFonts w:ascii="新細明體" w:hint="eastAsia"/>
        </w:rPr>
        <w:t xml:space="preserve">辦 理 外 </w:t>
      </w:r>
      <w:proofErr w:type="gramStart"/>
      <w:r w:rsidRPr="00A32DF1">
        <w:rPr>
          <w:rFonts w:ascii="新細明體" w:hint="eastAsia"/>
        </w:rPr>
        <w:t>匯</w:t>
      </w:r>
      <w:proofErr w:type="gramEnd"/>
      <w:r w:rsidRPr="00A32DF1">
        <w:rPr>
          <w:rFonts w:ascii="新細明體" w:hint="eastAsia"/>
        </w:rPr>
        <w:t xml:space="preserve"> 業 </w:t>
      </w:r>
      <w:proofErr w:type="gramStart"/>
      <w:r w:rsidRPr="00A32DF1">
        <w:rPr>
          <w:rFonts w:ascii="新細明體" w:hint="eastAsia"/>
        </w:rPr>
        <w:t>務</w:t>
      </w:r>
      <w:proofErr w:type="gramEnd"/>
      <w:r w:rsidR="00031CA5" w:rsidRPr="00A32DF1">
        <w:rPr>
          <w:rFonts w:ascii="新細明體"/>
        </w:rPr>
        <w:t xml:space="preserve"> </w:t>
      </w:r>
      <w:r w:rsidR="00031CA5" w:rsidRPr="00A32DF1">
        <w:rPr>
          <w:rFonts w:ascii="新細明體" w:hint="eastAsia"/>
        </w:rPr>
        <w:t>查</w:t>
      </w:r>
      <w:r w:rsidR="00031CA5" w:rsidRPr="00A32DF1">
        <w:rPr>
          <w:rFonts w:ascii="新細明體"/>
        </w:rPr>
        <w:t xml:space="preserve"> </w:t>
      </w:r>
      <w:r w:rsidR="00031CA5" w:rsidRPr="00A32DF1">
        <w:rPr>
          <w:rFonts w:ascii="新細明體" w:hint="eastAsia"/>
        </w:rPr>
        <w:t>核</w:t>
      </w:r>
      <w:r w:rsidR="00031CA5" w:rsidRPr="00A32DF1">
        <w:rPr>
          <w:rFonts w:ascii="新細明體"/>
        </w:rPr>
        <w:t xml:space="preserve"> </w:t>
      </w:r>
      <w:r w:rsidR="00031CA5" w:rsidRPr="00A32DF1">
        <w:rPr>
          <w:rFonts w:ascii="新細明體" w:hint="eastAsia"/>
        </w:rPr>
        <w:t>明</w:t>
      </w:r>
      <w:r w:rsidR="00031CA5" w:rsidRPr="00A32DF1">
        <w:rPr>
          <w:rFonts w:ascii="新細明體"/>
        </w:rPr>
        <w:t xml:space="preserve"> </w:t>
      </w:r>
      <w:r w:rsidR="00031CA5" w:rsidRPr="00A32DF1">
        <w:rPr>
          <w:rFonts w:ascii="新細明體" w:hint="eastAsia"/>
        </w:rPr>
        <w:t>細</w:t>
      </w:r>
      <w:r w:rsidR="00031CA5" w:rsidRPr="00A32DF1">
        <w:rPr>
          <w:rFonts w:ascii="新細明體"/>
        </w:rPr>
        <w:t xml:space="preserve"> </w:t>
      </w:r>
      <w:r w:rsidR="00031CA5" w:rsidRPr="00A32DF1">
        <w:rPr>
          <w:rFonts w:ascii="新細明體" w:hint="eastAsia"/>
        </w:rPr>
        <w:t>表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938"/>
        <w:gridCol w:w="567"/>
        <w:gridCol w:w="567"/>
        <w:gridCol w:w="1134"/>
        <w:gridCol w:w="1985"/>
      </w:tblGrid>
      <w:tr w:rsidR="00031CA5" w:rsidRPr="00A32DF1" w14:paraId="70586254" w14:textId="77777777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5553E9" w14:textId="77777777" w:rsidR="00031CA5" w:rsidRPr="00A32DF1" w:rsidRDefault="00031CA5">
            <w:pPr>
              <w:jc w:val="center"/>
              <w:rPr>
                <w:rFonts w:ascii="新細明體"/>
              </w:rPr>
            </w:pPr>
            <w:r w:rsidRPr="00A32DF1">
              <w:rPr>
                <w:rFonts w:ascii="新細明體" w:hint="eastAsia"/>
              </w:rPr>
              <w:t>項</w:t>
            </w:r>
            <w:r w:rsidRPr="00A32DF1">
              <w:rPr>
                <w:rFonts w:ascii="新細明體"/>
              </w:rPr>
              <w:t xml:space="preserve">     </w:t>
            </w:r>
            <w:r w:rsidRPr="00A32DF1">
              <w:rPr>
                <w:rFonts w:ascii="新細明體" w:hint="eastAsia"/>
              </w:rPr>
              <w:t>目</w:t>
            </w:r>
          </w:p>
        </w:tc>
        <w:tc>
          <w:tcPr>
            <w:tcW w:w="7938" w:type="dxa"/>
            <w:vMerge w:val="restart"/>
            <w:tcBorders>
              <w:top w:val="single" w:sz="12" w:space="0" w:color="auto"/>
            </w:tcBorders>
            <w:vAlign w:val="center"/>
          </w:tcPr>
          <w:p w14:paraId="3D80D8C1" w14:textId="77777777" w:rsidR="00031CA5" w:rsidRPr="00A32DF1" w:rsidRDefault="00031CA5">
            <w:pPr>
              <w:jc w:val="center"/>
              <w:rPr>
                <w:rFonts w:asciiTheme="minorEastAsia" w:eastAsiaTheme="minorEastAsia" w:hAnsiTheme="minorEastAsia"/>
              </w:rPr>
            </w:pPr>
            <w:r w:rsidRPr="00A32DF1">
              <w:rPr>
                <w:rFonts w:asciiTheme="minorEastAsia" w:eastAsiaTheme="minorEastAsia" w:hAnsiTheme="minorEastAsia" w:hint="eastAsia"/>
              </w:rPr>
              <w:t>查</w:t>
            </w:r>
            <w:r w:rsidRPr="00A32DF1">
              <w:rPr>
                <w:rFonts w:asciiTheme="minorEastAsia" w:eastAsiaTheme="minorEastAsia" w:hAnsiTheme="minorEastAsia"/>
              </w:rPr>
              <w:t xml:space="preserve">          </w:t>
            </w:r>
            <w:r w:rsidRPr="00A32DF1">
              <w:rPr>
                <w:rFonts w:asciiTheme="minorEastAsia" w:eastAsiaTheme="minorEastAsia" w:hAnsiTheme="minorEastAsia" w:hint="eastAsia"/>
              </w:rPr>
              <w:t>核</w:t>
            </w:r>
            <w:r w:rsidRPr="00A32DF1">
              <w:rPr>
                <w:rFonts w:asciiTheme="minorEastAsia" w:eastAsiaTheme="minorEastAsia" w:hAnsiTheme="minorEastAsia"/>
              </w:rPr>
              <w:t xml:space="preserve">          </w:t>
            </w:r>
            <w:r w:rsidRPr="00A32DF1">
              <w:rPr>
                <w:rFonts w:asciiTheme="minorEastAsia" w:eastAsiaTheme="minorEastAsia" w:hAnsiTheme="minorEastAsia" w:hint="eastAsia"/>
              </w:rPr>
              <w:t>程</w:t>
            </w:r>
            <w:r w:rsidRPr="00A32DF1">
              <w:rPr>
                <w:rFonts w:asciiTheme="minorEastAsia" w:eastAsiaTheme="minorEastAsia" w:hAnsiTheme="minorEastAsia"/>
              </w:rPr>
              <w:t xml:space="preserve">          </w:t>
            </w:r>
            <w:r w:rsidRPr="00A32DF1">
              <w:rPr>
                <w:rFonts w:asciiTheme="minorEastAsia" w:eastAsiaTheme="minorEastAsia" w:hAnsiTheme="minorEastAsia" w:hint="eastAsia"/>
              </w:rPr>
              <w:t>序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  <w:vAlign w:val="center"/>
          </w:tcPr>
          <w:p w14:paraId="1308260E" w14:textId="77777777" w:rsidR="00031CA5" w:rsidRPr="00A32DF1" w:rsidRDefault="00031CA5">
            <w:pPr>
              <w:jc w:val="center"/>
              <w:rPr>
                <w:rFonts w:ascii="新細明體"/>
                <w:spacing w:val="60"/>
              </w:rPr>
            </w:pPr>
            <w:r w:rsidRPr="00A32DF1">
              <w:rPr>
                <w:rFonts w:ascii="新細明體" w:hint="eastAsia"/>
                <w:spacing w:val="60"/>
                <w:sz w:val="22"/>
              </w:rPr>
              <w:t>查核結果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A89491" w14:textId="77777777" w:rsidR="00031CA5" w:rsidRPr="00A32DF1" w:rsidRDefault="00031CA5">
            <w:pPr>
              <w:jc w:val="center"/>
              <w:rPr>
                <w:rFonts w:ascii="新細明體"/>
              </w:rPr>
            </w:pPr>
            <w:r w:rsidRPr="00A32DF1">
              <w:rPr>
                <w:rFonts w:ascii="新細明體" w:hint="eastAsia"/>
                <w:spacing w:val="60"/>
              </w:rPr>
              <w:t>底稿索引</w:t>
            </w:r>
          </w:p>
        </w:tc>
      </w:tr>
      <w:tr w:rsidR="00031CA5" w:rsidRPr="00A32DF1" w14:paraId="6BEBEC24" w14:textId="77777777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12" w:space="0" w:color="auto"/>
            </w:tcBorders>
          </w:tcPr>
          <w:p w14:paraId="09C120B0" w14:textId="77777777" w:rsidR="00031CA5" w:rsidRPr="00A32DF1" w:rsidRDefault="00031CA5">
            <w:pPr>
              <w:rPr>
                <w:rFonts w:ascii="新細明體"/>
              </w:rPr>
            </w:pPr>
          </w:p>
        </w:tc>
        <w:tc>
          <w:tcPr>
            <w:tcW w:w="7938" w:type="dxa"/>
            <w:vMerge/>
          </w:tcPr>
          <w:p w14:paraId="510FB044" w14:textId="77777777" w:rsidR="00031CA5" w:rsidRPr="00A32DF1" w:rsidRDefault="00031CA5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61EA009C" w14:textId="77777777" w:rsidR="00031CA5" w:rsidRPr="00A32DF1" w:rsidRDefault="00031CA5">
            <w:pPr>
              <w:jc w:val="center"/>
              <w:rPr>
                <w:rFonts w:ascii="新細明體"/>
                <w:sz w:val="22"/>
              </w:rPr>
            </w:pPr>
            <w:r w:rsidRPr="00A32DF1">
              <w:rPr>
                <w:rFonts w:ascii="新細明體" w:hint="eastAsia"/>
                <w:sz w:val="22"/>
              </w:rPr>
              <w:t>是</w:t>
            </w:r>
          </w:p>
        </w:tc>
        <w:tc>
          <w:tcPr>
            <w:tcW w:w="567" w:type="dxa"/>
          </w:tcPr>
          <w:p w14:paraId="69264DB1" w14:textId="77777777" w:rsidR="00031CA5" w:rsidRPr="00A32DF1" w:rsidRDefault="00031CA5">
            <w:pPr>
              <w:jc w:val="center"/>
              <w:rPr>
                <w:rFonts w:ascii="新細明體"/>
                <w:sz w:val="22"/>
              </w:rPr>
            </w:pPr>
            <w:r w:rsidRPr="00A32DF1">
              <w:rPr>
                <w:rFonts w:ascii="新細明體" w:hint="eastAsia"/>
                <w:sz w:val="22"/>
              </w:rPr>
              <w:t>否</w:t>
            </w:r>
          </w:p>
        </w:tc>
        <w:tc>
          <w:tcPr>
            <w:tcW w:w="1134" w:type="dxa"/>
          </w:tcPr>
          <w:p w14:paraId="7D7F6427" w14:textId="77777777" w:rsidR="00031CA5" w:rsidRPr="00A32DF1" w:rsidRDefault="00031CA5">
            <w:pPr>
              <w:jc w:val="center"/>
              <w:rPr>
                <w:rFonts w:ascii="新細明體"/>
                <w:sz w:val="22"/>
              </w:rPr>
            </w:pPr>
            <w:r w:rsidRPr="00A32DF1">
              <w:rPr>
                <w:rFonts w:ascii="新細明體" w:hint="eastAsia"/>
                <w:sz w:val="22"/>
              </w:rPr>
              <w:t>不適用</w:t>
            </w:r>
          </w:p>
        </w:tc>
        <w:tc>
          <w:tcPr>
            <w:tcW w:w="1985" w:type="dxa"/>
            <w:vMerge/>
            <w:tcBorders>
              <w:right w:val="single" w:sz="12" w:space="0" w:color="auto"/>
            </w:tcBorders>
          </w:tcPr>
          <w:p w14:paraId="1B3218BE" w14:textId="77777777" w:rsidR="00031CA5" w:rsidRPr="00A32DF1" w:rsidRDefault="00031CA5">
            <w:pPr>
              <w:rPr>
                <w:rFonts w:ascii="新細明體"/>
              </w:rPr>
            </w:pPr>
          </w:p>
        </w:tc>
      </w:tr>
      <w:tr w:rsidR="00031CA5" w:rsidRPr="00A32DF1" w14:paraId="5F4C92D0" w14:textId="77777777" w:rsidTr="004335FD">
        <w:trPr>
          <w:trHeight w:hRule="exact" w:val="5581"/>
        </w:trPr>
        <w:tc>
          <w:tcPr>
            <w:tcW w:w="1985" w:type="dxa"/>
            <w:tcBorders>
              <w:left w:val="single" w:sz="12" w:space="0" w:color="auto"/>
            </w:tcBorders>
          </w:tcPr>
          <w:p w14:paraId="54CF06FB" w14:textId="77777777" w:rsidR="00031CA5" w:rsidRPr="00A32DF1" w:rsidRDefault="007C18EF">
            <w:pPr>
              <w:spacing w:line="240" w:lineRule="atLeast"/>
              <w:jc w:val="both"/>
              <w:rPr>
                <w:rFonts w:ascii="新細明體"/>
              </w:rPr>
            </w:pP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辦理外匯業務之查核</w:t>
            </w:r>
          </w:p>
        </w:tc>
        <w:tc>
          <w:tcPr>
            <w:tcW w:w="7938" w:type="dxa"/>
          </w:tcPr>
          <w:p w14:paraId="254BA639" w14:textId="77777777" w:rsidR="00041BD2" w:rsidRPr="00A32DF1" w:rsidRDefault="00327E94" w:rsidP="00A73669">
            <w:pPr>
              <w:pStyle w:val="aa"/>
              <w:numPr>
                <w:ilvl w:val="0"/>
                <w:numId w:val="6"/>
              </w:numPr>
              <w:adjustRightInd/>
              <w:snapToGrid w:val="0"/>
              <w:spacing w:line="400" w:lineRule="exact"/>
              <w:ind w:leftChars="0"/>
              <w:jc w:val="both"/>
              <w:textAlignment w:val="auto"/>
              <w:rPr>
                <w:rFonts w:ascii="新細明體" w:hAnsi="新細明體"/>
                <w:color w:val="000000"/>
                <w:spacing w:val="10"/>
              </w:rPr>
            </w:pP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公司是否自行訂定外匯風險管理規範，</w:t>
            </w:r>
            <w:proofErr w:type="gramStart"/>
            <w:r w:rsidRPr="00A32DF1">
              <w:rPr>
                <w:rFonts w:ascii="新細明體" w:hAnsi="新細明體" w:hint="eastAsia"/>
                <w:color w:val="000000"/>
                <w:spacing w:val="10"/>
              </w:rPr>
              <w:t>並報董</w:t>
            </w:r>
            <w:proofErr w:type="gramEnd"/>
            <w:r w:rsidRPr="00A32DF1">
              <w:rPr>
                <w:rFonts w:ascii="新細明體" w:hAnsi="新細明體" w:hint="eastAsia"/>
                <w:color w:val="000000"/>
                <w:spacing w:val="10"/>
              </w:rPr>
              <w:t>(理)事會或外國證券商總公司(或區域總部)通過，責成各單位確實遵行。</w:t>
            </w:r>
          </w:p>
          <w:p w14:paraId="6234A6C8" w14:textId="77777777" w:rsidR="00A73669" w:rsidRPr="00A32DF1" w:rsidRDefault="00186020" w:rsidP="00A73669">
            <w:pPr>
              <w:pStyle w:val="aa"/>
              <w:numPr>
                <w:ilvl w:val="0"/>
                <w:numId w:val="6"/>
              </w:numPr>
              <w:adjustRightInd/>
              <w:snapToGrid w:val="0"/>
              <w:spacing w:line="400" w:lineRule="exact"/>
              <w:ind w:leftChars="0"/>
              <w:jc w:val="both"/>
              <w:textAlignment w:val="auto"/>
              <w:rPr>
                <w:rFonts w:ascii="新細明體"/>
                <w:color w:val="000000"/>
                <w:spacing w:val="10"/>
              </w:rPr>
            </w:pPr>
            <w:r w:rsidRPr="00A32DF1">
              <w:rPr>
                <w:rFonts w:cs="Arial Unicode MS" w:hint="eastAsia"/>
              </w:rPr>
              <w:t>外匯證券商</w:t>
            </w:r>
            <w:r w:rsidR="00A73669" w:rsidRPr="00A32DF1">
              <w:rPr>
                <w:rFonts w:ascii="新細明體" w:hAnsi="新細明體" w:hint="eastAsia"/>
                <w:color w:val="000000"/>
                <w:spacing w:val="10"/>
              </w:rPr>
              <w:t>是否</w:t>
            </w:r>
            <w:r w:rsidR="00A73669" w:rsidRPr="00A32DF1">
              <w:rPr>
                <w:rFonts w:ascii="新細明體" w:hint="eastAsia"/>
                <w:color w:val="000000"/>
                <w:spacing w:val="10"/>
              </w:rPr>
              <w:t>自行訂定新臺幣與外幣間交易總部位限額，並檢附董事會通過文件函報中央銀行外匯局同意後實施</w:t>
            </w:r>
            <w:r w:rsidR="00A73669" w:rsidRPr="00A32DF1">
              <w:rPr>
                <w:rFonts w:ascii="新細明體" w:hAnsi="新細明體" w:hint="eastAsia"/>
                <w:color w:val="000000"/>
                <w:spacing w:val="10"/>
              </w:rPr>
              <w:t>。</w:t>
            </w:r>
          </w:p>
          <w:p w14:paraId="18EF2AD7" w14:textId="77777777" w:rsidR="00A73669" w:rsidRPr="00A32DF1" w:rsidRDefault="00186020" w:rsidP="00A73669">
            <w:pPr>
              <w:pStyle w:val="aa"/>
              <w:numPr>
                <w:ilvl w:val="0"/>
                <w:numId w:val="6"/>
              </w:numPr>
              <w:adjustRightInd/>
              <w:snapToGrid w:val="0"/>
              <w:spacing w:line="400" w:lineRule="exact"/>
              <w:ind w:leftChars="0"/>
              <w:jc w:val="both"/>
              <w:textAlignment w:val="auto"/>
              <w:rPr>
                <w:rFonts w:ascii="新細明體"/>
                <w:color w:val="000000"/>
                <w:spacing w:val="10"/>
              </w:rPr>
            </w:pPr>
            <w:r w:rsidRPr="00A32DF1">
              <w:rPr>
                <w:rFonts w:cs="Arial Unicode MS" w:hint="eastAsia"/>
              </w:rPr>
              <w:t>外匯證券商</w:t>
            </w:r>
            <w:r w:rsidR="00A73669" w:rsidRPr="00A32DF1">
              <w:rPr>
                <w:rFonts w:ascii="新細明體" w:hint="eastAsia"/>
                <w:color w:val="000000"/>
                <w:spacing w:val="10"/>
              </w:rPr>
              <w:t>是否自行訂定「各幣別交易部位」及「交易員隔夜部位」等各項部位限額，並責成各單位確實遵行</w:t>
            </w:r>
            <w:r w:rsidR="00A73669" w:rsidRPr="00A32DF1">
              <w:rPr>
                <w:rFonts w:ascii="新細明體" w:hAnsi="新細明體" w:hint="eastAsia"/>
                <w:color w:val="000000"/>
                <w:spacing w:val="10"/>
              </w:rPr>
              <w:t>。</w:t>
            </w:r>
          </w:p>
          <w:p w14:paraId="2A4B27F7" w14:textId="77777777" w:rsidR="00A73669" w:rsidRPr="00A32DF1" w:rsidRDefault="00A73669" w:rsidP="00A73669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新細明體"/>
                <w:color w:val="000000"/>
                <w:spacing w:val="10"/>
              </w:rPr>
            </w:pPr>
            <w:r w:rsidRPr="00A32DF1">
              <w:rPr>
                <w:rFonts w:ascii="新細明體" w:hint="eastAsia"/>
                <w:color w:val="000000"/>
                <w:spacing w:val="10"/>
              </w:rPr>
              <w:t>公司辦理外匯衍生性商品業務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（非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銷售工作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）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之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相關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人員，是否符合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｢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銀行業辦理外匯業務管理辦法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｣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第十四條規定應具備之資格條件及教育訓練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。</w:t>
            </w:r>
          </w:p>
          <w:p w14:paraId="2048E881" w14:textId="77777777" w:rsidR="003829FF" w:rsidRPr="00A32DF1" w:rsidRDefault="00A73669" w:rsidP="00A73669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新細明體"/>
                <w:color w:val="000000"/>
                <w:spacing w:val="10"/>
              </w:rPr>
            </w:pPr>
            <w:r w:rsidRPr="00A32DF1">
              <w:rPr>
                <w:rFonts w:ascii="新細明體" w:hint="eastAsia"/>
                <w:color w:val="000000"/>
                <w:spacing w:val="10"/>
              </w:rPr>
              <w:t>公司辦理外匯衍生性商品銷售工作之相關人員，是否符合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｢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銀行業辦理外匯業務管理辦法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｣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第十四條有關推介工作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，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及櫃買中心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｢</w:t>
            </w:r>
            <w:r w:rsidRPr="00A32DF1">
              <w:rPr>
                <w:rFonts w:ascii="細明體" w:eastAsia="細明體" w:hAnsi="細明體" w:hint="eastAsia"/>
              </w:rPr>
              <w:t>證券商受託買賣有價證券業務人員銷售衍生性金融商品業務規範</w:t>
            </w:r>
            <w:r w:rsidRPr="00A32DF1">
              <w:rPr>
                <w:rFonts w:ascii="新細明體" w:hAnsi="新細明體" w:hint="eastAsia"/>
              </w:rPr>
              <w:t>｣</w:t>
            </w:r>
            <w:r w:rsidRPr="00A32DF1">
              <w:rPr>
                <w:rFonts w:ascii="細明體" w:eastAsia="細明體" w:hAnsi="細明體" w:hint="eastAsia"/>
              </w:rPr>
              <w:t>第</w:t>
            </w:r>
            <w:r w:rsidRPr="00A32DF1">
              <w:rPr>
                <w:rFonts w:ascii="細明體" w:eastAsia="細明體" w:hAnsi="細明體"/>
              </w:rPr>
              <w:t>3</w:t>
            </w:r>
            <w:r w:rsidRPr="00A32DF1">
              <w:rPr>
                <w:rFonts w:ascii="細明體" w:eastAsia="細明體" w:hAnsi="細明體" w:hint="eastAsia"/>
              </w:rPr>
              <w:t>條</w:t>
            </w:r>
            <w:r w:rsidRPr="00A32DF1">
              <w:rPr>
                <w:rFonts w:ascii="新細明體" w:hint="eastAsia"/>
                <w:color w:val="000000"/>
                <w:spacing w:val="10"/>
              </w:rPr>
              <w:t>業務登記之規定</w:t>
            </w:r>
            <w:r w:rsidRPr="00A32DF1">
              <w:rPr>
                <w:rFonts w:ascii="新細明體" w:hAnsi="新細明體" w:hint="eastAsia"/>
                <w:color w:val="000000"/>
                <w:spacing w:val="10"/>
              </w:rPr>
              <w:t>。</w:t>
            </w:r>
          </w:p>
        </w:tc>
        <w:tc>
          <w:tcPr>
            <w:tcW w:w="567" w:type="dxa"/>
          </w:tcPr>
          <w:p w14:paraId="280C5210" w14:textId="77777777" w:rsidR="00031CA5" w:rsidRPr="00A32DF1" w:rsidRDefault="00031CA5">
            <w:pPr>
              <w:rPr>
                <w:rFonts w:ascii="標楷體" w:eastAsia="標楷體"/>
              </w:rPr>
            </w:pPr>
          </w:p>
          <w:p w14:paraId="7BB5084D" w14:textId="77777777" w:rsidR="00031CA5" w:rsidRPr="00A32DF1" w:rsidRDefault="00031CA5">
            <w:pPr>
              <w:jc w:val="center"/>
              <w:rPr>
                <w:rFonts w:ascii="標楷體" w:eastAsia="標楷體"/>
              </w:rPr>
            </w:pPr>
          </w:p>
          <w:p w14:paraId="6B0C5FAA" w14:textId="77777777" w:rsidR="00031CA5" w:rsidRPr="00A32DF1" w:rsidRDefault="00031CA5">
            <w:pPr>
              <w:rPr>
                <w:rFonts w:ascii="標楷體" w:eastAsia="標楷體"/>
              </w:rPr>
            </w:pPr>
          </w:p>
        </w:tc>
        <w:tc>
          <w:tcPr>
            <w:tcW w:w="567" w:type="dxa"/>
          </w:tcPr>
          <w:p w14:paraId="54BEF9F6" w14:textId="77777777" w:rsidR="00031CA5" w:rsidRPr="00A32DF1" w:rsidRDefault="00031CA5">
            <w:pPr>
              <w:rPr>
                <w:rFonts w:ascii="新細明體"/>
              </w:rPr>
            </w:pPr>
          </w:p>
          <w:p w14:paraId="3D88404A" w14:textId="77777777" w:rsidR="00031CA5" w:rsidRPr="00A32DF1" w:rsidRDefault="00031CA5">
            <w:pPr>
              <w:jc w:val="center"/>
              <w:rPr>
                <w:rFonts w:ascii="新細明體"/>
              </w:rPr>
            </w:pPr>
          </w:p>
          <w:p w14:paraId="2F171C45" w14:textId="77777777" w:rsidR="00031CA5" w:rsidRPr="00A32DF1" w:rsidRDefault="00031CA5">
            <w:pPr>
              <w:rPr>
                <w:rFonts w:ascii="新細明體"/>
              </w:rPr>
            </w:pPr>
          </w:p>
        </w:tc>
        <w:tc>
          <w:tcPr>
            <w:tcW w:w="1134" w:type="dxa"/>
          </w:tcPr>
          <w:p w14:paraId="24A43E30" w14:textId="77777777" w:rsidR="00031CA5" w:rsidRPr="00A32DF1" w:rsidRDefault="00031CA5">
            <w:pPr>
              <w:rPr>
                <w:rFonts w:ascii="新細明體"/>
              </w:rPr>
            </w:pPr>
          </w:p>
          <w:p w14:paraId="4BF276FA" w14:textId="77777777" w:rsidR="00031CA5" w:rsidRPr="00A32DF1" w:rsidRDefault="00031CA5">
            <w:pPr>
              <w:jc w:val="center"/>
              <w:rPr>
                <w:rFonts w:ascii="新細明體"/>
              </w:rPr>
            </w:pPr>
          </w:p>
          <w:p w14:paraId="2FCB2FDC" w14:textId="77777777" w:rsidR="00031CA5" w:rsidRPr="00A32DF1" w:rsidRDefault="00031CA5">
            <w:pPr>
              <w:rPr>
                <w:rFonts w:ascii="新細明體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</w:tcPr>
          <w:p w14:paraId="20F7D900" w14:textId="77777777" w:rsidR="00031CA5" w:rsidRPr="00A32DF1" w:rsidRDefault="00031CA5">
            <w:pPr>
              <w:rPr>
                <w:rFonts w:ascii="新細明體"/>
              </w:rPr>
            </w:pPr>
          </w:p>
        </w:tc>
      </w:tr>
      <w:tr w:rsidR="00031CA5" w:rsidRPr="00A32DF1" w14:paraId="50A8DB93" w14:textId="77777777" w:rsidTr="004335FD">
        <w:trPr>
          <w:cantSplit/>
          <w:trHeight w:hRule="exact" w:val="1139"/>
        </w:trPr>
        <w:tc>
          <w:tcPr>
            <w:tcW w:w="141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93026" w14:textId="77777777" w:rsidR="00031CA5" w:rsidRPr="00A32DF1" w:rsidRDefault="00031CA5">
            <w:pPr>
              <w:ind w:firstLine="180"/>
            </w:pPr>
            <w:r w:rsidRPr="00A32DF1">
              <w:rPr>
                <w:rFonts w:hint="eastAsia"/>
                <w:spacing w:val="24"/>
              </w:rPr>
              <w:t>備</w:t>
            </w:r>
            <w:r w:rsidRPr="00A32DF1">
              <w:rPr>
                <w:spacing w:val="24"/>
              </w:rPr>
              <w:t xml:space="preserve">  </w:t>
            </w:r>
            <w:proofErr w:type="gramStart"/>
            <w:r w:rsidRPr="00A32DF1">
              <w:rPr>
                <w:rFonts w:hint="eastAsia"/>
                <w:spacing w:val="24"/>
              </w:rPr>
              <w:t>註</w:t>
            </w:r>
            <w:proofErr w:type="gramEnd"/>
            <w:r w:rsidRPr="00A32DF1">
              <w:rPr>
                <w:rFonts w:hint="eastAsia"/>
                <w:spacing w:val="24"/>
              </w:rPr>
              <w:t>：</w:t>
            </w:r>
            <w:r w:rsidR="00F76D93" w:rsidRPr="00A32DF1">
              <w:rPr>
                <w:spacing w:val="24"/>
              </w:rPr>
              <w:t xml:space="preserve"> </w:t>
            </w:r>
          </w:p>
        </w:tc>
      </w:tr>
    </w:tbl>
    <w:p w14:paraId="78FC71F6" w14:textId="77777777" w:rsidR="00031CA5" w:rsidRPr="00687B30" w:rsidRDefault="00031CA5">
      <w:pPr>
        <w:spacing w:line="500" w:lineRule="atLeast"/>
        <w:ind w:firstLine="9361"/>
        <w:jc w:val="both"/>
        <w:rPr>
          <w:rFonts w:eastAsia="標楷體"/>
        </w:rPr>
      </w:pPr>
      <w:r w:rsidRPr="00A32DF1">
        <w:rPr>
          <w:rFonts w:hint="eastAsia"/>
          <w:spacing w:val="24"/>
        </w:rPr>
        <w:t>稽核人員</w:t>
      </w:r>
      <w:r w:rsidRPr="00A32DF1">
        <w:rPr>
          <w:spacing w:val="24"/>
        </w:rPr>
        <w:t xml:space="preserve"> </w:t>
      </w:r>
      <w:r w:rsidRPr="00A32DF1">
        <w:rPr>
          <w:rFonts w:hint="eastAsia"/>
          <w:spacing w:val="24"/>
        </w:rPr>
        <w:t xml:space="preserve">　　　　</w:t>
      </w:r>
      <w:r w:rsidRPr="00A32DF1">
        <w:rPr>
          <w:spacing w:val="24"/>
        </w:rPr>
        <w:t xml:space="preserve"> </w:t>
      </w:r>
      <w:r w:rsidRPr="00A32DF1">
        <w:rPr>
          <w:rFonts w:hint="eastAsia"/>
          <w:spacing w:val="24"/>
        </w:rPr>
        <w:t>日</w:t>
      </w:r>
      <w:r w:rsidRPr="00A32DF1">
        <w:rPr>
          <w:spacing w:val="24"/>
        </w:rPr>
        <w:t xml:space="preserve"> </w:t>
      </w:r>
      <w:r w:rsidRPr="00A32DF1">
        <w:rPr>
          <w:rFonts w:hint="eastAsia"/>
          <w:spacing w:val="24"/>
        </w:rPr>
        <w:t>期</w:t>
      </w:r>
      <w:r w:rsidRPr="00687B30">
        <w:rPr>
          <w:spacing w:val="24"/>
        </w:rPr>
        <w:t xml:space="preserve"> </w:t>
      </w:r>
      <w:r w:rsidRPr="00687B30">
        <w:rPr>
          <w:rFonts w:hint="eastAsia"/>
          <w:spacing w:val="24"/>
        </w:rPr>
        <w:t xml:space="preserve">　　　</w:t>
      </w:r>
      <w:r w:rsidRPr="00687B30">
        <w:rPr>
          <w:rFonts w:eastAsia="標楷體" w:hint="eastAsia"/>
          <w:spacing w:val="24"/>
        </w:rPr>
        <w:t xml:space="preserve">　</w:t>
      </w:r>
    </w:p>
    <w:sectPr w:rsidR="00031CA5" w:rsidRPr="00687B30" w:rsidSect="00791024">
      <w:footerReference w:type="default" r:id="rId8"/>
      <w:pgSz w:w="16840" w:h="11907" w:orient="landscape" w:code="9"/>
      <w:pgMar w:top="719" w:right="1418" w:bottom="284" w:left="1418" w:header="851" w:footer="992" w:gutter="0"/>
      <w:pgNumType w:start="36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D105F" w14:textId="77777777" w:rsidR="00AA25E7" w:rsidRDefault="00AA25E7">
      <w:pPr>
        <w:spacing w:line="240" w:lineRule="auto"/>
      </w:pPr>
      <w:r>
        <w:separator/>
      </w:r>
    </w:p>
  </w:endnote>
  <w:endnote w:type="continuationSeparator" w:id="0">
    <w:p w14:paraId="7D979F35" w14:textId="77777777" w:rsidR="00AA25E7" w:rsidRDefault="00AA25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ourier 10 Pi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B6CE" w14:textId="46D2B22D" w:rsidR="004335FD" w:rsidRDefault="004335FD" w:rsidP="004335FD">
    <w:pPr>
      <w:pStyle w:val="a5"/>
      <w:jc w:val="center"/>
    </w:pPr>
    <w:r w:rsidRPr="004335FD">
      <w:t>FA-19D10-S</w:t>
    </w:r>
  </w:p>
  <w:p w14:paraId="553B344B" w14:textId="77777777" w:rsidR="004335FD" w:rsidRDefault="004335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3F159" w14:textId="77777777" w:rsidR="00AA25E7" w:rsidRDefault="00AA25E7">
      <w:pPr>
        <w:spacing w:line="240" w:lineRule="auto"/>
      </w:pPr>
      <w:r>
        <w:separator/>
      </w:r>
    </w:p>
  </w:footnote>
  <w:footnote w:type="continuationSeparator" w:id="0">
    <w:p w14:paraId="4E1DB974" w14:textId="77777777" w:rsidR="00AA25E7" w:rsidRDefault="00AA25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1A47"/>
    <w:multiLevelType w:val="multilevel"/>
    <w:tmpl w:val="234473BC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0F485CF6"/>
    <w:multiLevelType w:val="multilevel"/>
    <w:tmpl w:val="774C3820"/>
    <w:lvl w:ilvl="0">
      <w:start w:val="1"/>
      <w:numFmt w:val="taiwaneseCountingThousand"/>
      <w:suff w:val="space"/>
      <w:lvlText w:val="%1、"/>
      <w:lvlJc w:val="left"/>
      <w:pPr>
        <w:ind w:left="567" w:hanging="567"/>
      </w:pPr>
      <w:rPr>
        <w:rFonts w:cs="Times New Roman" w:hint="eastAsia"/>
      </w:rPr>
    </w:lvl>
    <w:lvl w:ilvl="1">
      <w:start w:val="1"/>
      <w:numFmt w:val="taiwaneseCountingThousand"/>
      <w:suff w:val="space"/>
      <w:lvlText w:val="%2、"/>
      <w:lvlJc w:val="left"/>
      <w:pPr>
        <w:ind w:left="1123" w:hanging="556"/>
      </w:pPr>
      <w:rPr>
        <w:rFonts w:ascii="Times New Roman" w:eastAsia="新細明體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" w15:restartNumberingAfterBreak="0">
    <w:nsid w:val="35373865"/>
    <w:multiLevelType w:val="hybridMultilevel"/>
    <w:tmpl w:val="A91AB9E0"/>
    <w:lvl w:ilvl="0" w:tplc="3F50335E">
      <w:start w:val="1"/>
      <w:numFmt w:val="taiwaneseCountingThousand"/>
      <w:lvlText w:val="%1、"/>
      <w:lvlJc w:val="left"/>
      <w:pPr>
        <w:ind w:left="480" w:hanging="480"/>
      </w:pPr>
      <w:rPr>
        <w:rFonts w:ascii="新細明體" w:eastAsia="新細明體" w:hAnsi="新細明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389602FA"/>
    <w:multiLevelType w:val="hybridMultilevel"/>
    <w:tmpl w:val="109A699C"/>
    <w:lvl w:ilvl="0" w:tplc="7AC8CA78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3E836355"/>
    <w:multiLevelType w:val="singleLevel"/>
    <w:tmpl w:val="E9561942"/>
    <w:lvl w:ilvl="0">
      <w:start w:val="1"/>
      <w:numFmt w:val="taiwaneseCountingThousand"/>
      <w:lvlText w:val="(%1)"/>
      <w:lvlJc w:val="left"/>
      <w:pPr>
        <w:tabs>
          <w:tab w:val="num" w:pos="495"/>
        </w:tabs>
        <w:ind w:left="495" w:hanging="495"/>
      </w:pPr>
      <w:rPr>
        <w:rFonts w:cs="Times New Roman" w:hint="eastAsia"/>
      </w:rPr>
    </w:lvl>
  </w:abstractNum>
  <w:abstractNum w:abstractNumId="5" w15:restartNumberingAfterBreak="0">
    <w:nsid w:val="487C019D"/>
    <w:multiLevelType w:val="hybridMultilevel"/>
    <w:tmpl w:val="0EA8950A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6" w15:restartNumberingAfterBreak="0">
    <w:nsid w:val="5F812D1E"/>
    <w:multiLevelType w:val="hybridMultilevel"/>
    <w:tmpl w:val="04B270D6"/>
    <w:lvl w:ilvl="0" w:tplc="9C3C224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1BA5F0B"/>
    <w:multiLevelType w:val="hybridMultilevel"/>
    <w:tmpl w:val="00645B9E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72F73A84"/>
    <w:multiLevelType w:val="multilevel"/>
    <w:tmpl w:val="14F6A60E"/>
    <w:lvl w:ilvl="0">
      <w:start w:val="1"/>
      <w:numFmt w:val="aiueo"/>
      <w:lvlText w:val="%1、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aiueo"/>
      <w:lvlText w:val="(%2)"/>
      <w:legacy w:legacy="1" w:legacySpace="0" w:legacyIndent="510"/>
      <w:lvlJc w:val="left"/>
      <w:pPr>
        <w:ind w:left="1077" w:hanging="510"/>
      </w:pPr>
      <w:rPr>
        <w:rFonts w:cs="Times New Roman"/>
      </w:rPr>
    </w:lvl>
    <w:lvl w:ilvl="2">
      <w:start w:val="1"/>
      <w:numFmt w:val="decimal"/>
      <w:lvlText w:val="%3."/>
      <w:legacy w:legacy="1" w:legacySpace="0" w:legacyIndent="425"/>
      <w:lvlJc w:val="left"/>
      <w:pPr>
        <w:ind w:left="1502" w:hanging="425"/>
      </w:pPr>
      <w:rPr>
        <w:rFonts w:cs="Times New Roman"/>
      </w:rPr>
    </w:lvl>
    <w:lvl w:ilvl="3">
      <w:start w:val="1"/>
      <w:numFmt w:val="decimal"/>
      <w:lvlText w:val="%4)"/>
      <w:legacy w:legacy="1" w:legacySpace="0" w:legacyIndent="425"/>
      <w:lvlJc w:val="left"/>
      <w:pPr>
        <w:ind w:left="1927" w:hanging="425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425"/>
      <w:lvlJc w:val="left"/>
      <w:pPr>
        <w:ind w:left="2352" w:hanging="425"/>
      </w:pPr>
      <w:rPr>
        <w:rFonts w:cs="Times New Roman"/>
      </w:rPr>
    </w:lvl>
    <w:lvl w:ilvl="5">
      <w:start w:val="1"/>
      <w:numFmt w:val="lowerLetter"/>
      <w:lvlText w:val="%6."/>
      <w:legacy w:legacy="1" w:legacySpace="0" w:legacyIndent="425"/>
      <w:lvlJc w:val="left"/>
      <w:pPr>
        <w:ind w:left="2777" w:hanging="425"/>
      </w:pPr>
      <w:rPr>
        <w:rFonts w:cs="Times New Roman"/>
      </w:rPr>
    </w:lvl>
    <w:lvl w:ilvl="6">
      <w:start w:val="1"/>
      <w:numFmt w:val="lowerLetter"/>
      <w:lvlText w:val="%7)"/>
      <w:legacy w:legacy="1" w:legacySpace="0" w:legacyIndent="425"/>
      <w:lvlJc w:val="left"/>
      <w:pPr>
        <w:ind w:left="3202" w:hanging="425"/>
      </w:pPr>
      <w:rPr>
        <w:rFonts w:cs="Times New Roman"/>
      </w:rPr>
    </w:lvl>
    <w:lvl w:ilvl="7">
      <w:start w:val="1"/>
      <w:numFmt w:val="lowerRoman"/>
      <w:lvlText w:val="(%8)"/>
      <w:legacy w:legacy="1" w:legacySpace="0" w:legacyIndent="425"/>
      <w:lvlJc w:val="left"/>
      <w:pPr>
        <w:ind w:left="3627" w:hanging="425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425"/>
      <w:lvlJc w:val="left"/>
      <w:pPr>
        <w:ind w:left="4052" w:hanging="425"/>
      </w:pPr>
      <w:rPr>
        <w:rFonts w:cs="Times New Roman"/>
      </w:rPr>
    </w:lvl>
  </w:abstractNum>
  <w:abstractNum w:abstractNumId="9" w15:restartNumberingAfterBreak="0">
    <w:nsid w:val="764F0792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cs="Times New Roman"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eastAsia"/>
      </w:rPr>
    </w:lvl>
  </w:abstractNum>
  <w:abstractNum w:abstractNumId="10" w15:restartNumberingAfterBreak="0">
    <w:nsid w:val="7DE87832"/>
    <w:multiLevelType w:val="hybridMultilevel"/>
    <w:tmpl w:val="B5C012A2"/>
    <w:lvl w:ilvl="0" w:tplc="0409000F">
      <w:start w:val="1"/>
      <w:numFmt w:val="decimal"/>
      <w:lvlText w:val="%1."/>
      <w:lvlJc w:val="left"/>
      <w:pPr>
        <w:ind w:left="96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FC5"/>
    <w:rsid w:val="00014B80"/>
    <w:rsid w:val="000212A3"/>
    <w:rsid w:val="00026AC2"/>
    <w:rsid w:val="00031CA5"/>
    <w:rsid w:val="00041BD2"/>
    <w:rsid w:val="00044FAB"/>
    <w:rsid w:val="00055130"/>
    <w:rsid w:val="000A4E4C"/>
    <w:rsid w:val="000A7C12"/>
    <w:rsid w:val="000C520D"/>
    <w:rsid w:val="000E4067"/>
    <w:rsid w:val="00186020"/>
    <w:rsid w:val="001C62AA"/>
    <w:rsid w:val="001D35E8"/>
    <w:rsid w:val="001D7359"/>
    <w:rsid w:val="001E2300"/>
    <w:rsid w:val="002058A9"/>
    <w:rsid w:val="0021612D"/>
    <w:rsid w:val="0023048F"/>
    <w:rsid w:val="00233066"/>
    <w:rsid w:val="00257919"/>
    <w:rsid w:val="002908C8"/>
    <w:rsid w:val="00296BD4"/>
    <w:rsid w:val="00296F20"/>
    <w:rsid w:val="002A03AB"/>
    <w:rsid w:val="002F02BA"/>
    <w:rsid w:val="00323A22"/>
    <w:rsid w:val="00327E94"/>
    <w:rsid w:val="00335C3B"/>
    <w:rsid w:val="00346DAD"/>
    <w:rsid w:val="00351570"/>
    <w:rsid w:val="003533DC"/>
    <w:rsid w:val="003829FF"/>
    <w:rsid w:val="00392D61"/>
    <w:rsid w:val="003E2F46"/>
    <w:rsid w:val="004335FD"/>
    <w:rsid w:val="004C1B69"/>
    <w:rsid w:val="004C3A6F"/>
    <w:rsid w:val="00511208"/>
    <w:rsid w:val="0057288E"/>
    <w:rsid w:val="005B7922"/>
    <w:rsid w:val="005C7F8C"/>
    <w:rsid w:val="005D7C6F"/>
    <w:rsid w:val="0061616D"/>
    <w:rsid w:val="00687B30"/>
    <w:rsid w:val="006F1D3D"/>
    <w:rsid w:val="006F7D60"/>
    <w:rsid w:val="007008D9"/>
    <w:rsid w:val="00771CFE"/>
    <w:rsid w:val="00791024"/>
    <w:rsid w:val="007A27C6"/>
    <w:rsid w:val="007C18EF"/>
    <w:rsid w:val="007C1C19"/>
    <w:rsid w:val="007C7246"/>
    <w:rsid w:val="007E51DA"/>
    <w:rsid w:val="00803F9A"/>
    <w:rsid w:val="00866B70"/>
    <w:rsid w:val="008911F7"/>
    <w:rsid w:val="008F7B8A"/>
    <w:rsid w:val="009472E5"/>
    <w:rsid w:val="0095681B"/>
    <w:rsid w:val="00995A96"/>
    <w:rsid w:val="009B05C3"/>
    <w:rsid w:val="009B7FBC"/>
    <w:rsid w:val="009C7358"/>
    <w:rsid w:val="009D0580"/>
    <w:rsid w:val="009F6023"/>
    <w:rsid w:val="00A32DF1"/>
    <w:rsid w:val="00A40BFD"/>
    <w:rsid w:val="00A7307F"/>
    <w:rsid w:val="00A73669"/>
    <w:rsid w:val="00AA25E7"/>
    <w:rsid w:val="00AD1CE3"/>
    <w:rsid w:val="00AD3F78"/>
    <w:rsid w:val="00AE2FC7"/>
    <w:rsid w:val="00AF1451"/>
    <w:rsid w:val="00B02C4A"/>
    <w:rsid w:val="00B70B43"/>
    <w:rsid w:val="00BB672E"/>
    <w:rsid w:val="00BD6687"/>
    <w:rsid w:val="00BE385E"/>
    <w:rsid w:val="00BE765F"/>
    <w:rsid w:val="00BF7C29"/>
    <w:rsid w:val="00C16093"/>
    <w:rsid w:val="00C22C2B"/>
    <w:rsid w:val="00C31201"/>
    <w:rsid w:val="00C443CB"/>
    <w:rsid w:val="00C80B9D"/>
    <w:rsid w:val="00CF6281"/>
    <w:rsid w:val="00D118C0"/>
    <w:rsid w:val="00D75350"/>
    <w:rsid w:val="00D9074D"/>
    <w:rsid w:val="00DB151A"/>
    <w:rsid w:val="00DD1D35"/>
    <w:rsid w:val="00DF6310"/>
    <w:rsid w:val="00E12F04"/>
    <w:rsid w:val="00E538F7"/>
    <w:rsid w:val="00E6258F"/>
    <w:rsid w:val="00E94806"/>
    <w:rsid w:val="00EA6F22"/>
    <w:rsid w:val="00ED2D66"/>
    <w:rsid w:val="00F52E52"/>
    <w:rsid w:val="00F76D93"/>
    <w:rsid w:val="00F87F03"/>
    <w:rsid w:val="00F97B92"/>
    <w:rsid w:val="00FA0BBC"/>
    <w:rsid w:val="00F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B9B8045"/>
  <w15:docId w15:val="{2051C971-C05A-449C-A15C-EBC973F1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02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9102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791024"/>
    <w:rPr>
      <w:rFonts w:cs="Times New Roman"/>
    </w:rPr>
  </w:style>
  <w:style w:type="paragraph" w:styleId="a5">
    <w:name w:val="footer"/>
    <w:basedOn w:val="a"/>
    <w:link w:val="a6"/>
    <w:uiPriority w:val="99"/>
    <w:rsid w:val="0079102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locked/>
    <w:rsid w:val="00791024"/>
    <w:rPr>
      <w:rFonts w:cs="Times New Roman"/>
    </w:rPr>
  </w:style>
  <w:style w:type="character" w:styleId="a7">
    <w:name w:val="page number"/>
    <w:basedOn w:val="a0"/>
    <w:uiPriority w:val="99"/>
    <w:semiHidden/>
    <w:rsid w:val="0079102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F6310"/>
    <w:pPr>
      <w:spacing w:line="240" w:lineRule="auto"/>
    </w:pPr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DF6310"/>
    <w:rPr>
      <w:rFonts w:ascii="Cambria" w:eastAsia="新細明體" w:hAnsi="Cambria" w:cs="Times New Roman"/>
      <w:sz w:val="18"/>
    </w:rPr>
  </w:style>
  <w:style w:type="paragraph" w:styleId="aa">
    <w:name w:val="List Paragraph"/>
    <w:basedOn w:val="a"/>
    <w:uiPriority w:val="99"/>
    <w:qFormat/>
    <w:rsid w:val="003829F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A0C2-FE22-484D-8E82-7B69756FA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416</Characters>
  <Application>Microsoft Office Word</Application>
  <DocSecurity>0</DocSecurity>
  <Lines>3</Lines>
  <Paragraphs>1</Paragraphs>
  <ScaleCrop>false</ScaleCrop>
  <Company>證交所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     目_</dc:title>
  <dc:creator>TSE1</dc:creator>
  <cp:lastModifiedBy>劉佳宜</cp:lastModifiedBy>
  <cp:revision>8</cp:revision>
  <cp:lastPrinted>2015-01-20T02:54:00Z</cp:lastPrinted>
  <dcterms:created xsi:type="dcterms:W3CDTF">2017-05-19T02:29:00Z</dcterms:created>
  <dcterms:modified xsi:type="dcterms:W3CDTF">2022-03-04T03:57:00Z</dcterms:modified>
</cp:coreProperties>
</file>