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D901D" w14:textId="77777777" w:rsidR="000D763D" w:rsidRPr="007C35CE" w:rsidRDefault="000D763D" w:rsidP="000833A6">
      <w:pPr>
        <w:spacing w:line="240" w:lineRule="exact"/>
        <w:rPr>
          <w:rFonts w:ascii="新細明體"/>
        </w:rPr>
      </w:pPr>
      <w:r w:rsidRPr="007C35CE">
        <w:rPr>
          <w:rFonts w:ascii="新細明體" w:hint="eastAsia"/>
        </w:rPr>
        <w:t>作業週期：每月至少查核乙次</w:t>
      </w:r>
    </w:p>
    <w:p w14:paraId="51EE1760" w14:textId="77777777" w:rsidR="002C5BBF" w:rsidRDefault="000D763D" w:rsidP="00E969D0">
      <w:pPr>
        <w:tabs>
          <w:tab w:val="left" w:pos="11907"/>
        </w:tabs>
        <w:snapToGrid w:val="0"/>
        <w:spacing w:beforeLines="20" w:before="72" w:afterLines="20" w:after="72" w:line="240" w:lineRule="exact"/>
        <w:rPr>
          <w:rFonts w:ascii="新細明體"/>
          <w:sz w:val="20"/>
        </w:rPr>
      </w:pPr>
      <w:r w:rsidRPr="007C35CE">
        <w:rPr>
          <w:rFonts w:ascii="新細明體" w:hint="eastAsia"/>
        </w:rPr>
        <w:t>選擇樣本標準：查核項目有發生者</w:t>
      </w:r>
      <w:r w:rsidR="009B32F0">
        <w:rPr>
          <w:rFonts w:ascii="新細明體" w:hint="eastAsia"/>
        </w:rPr>
        <w:t>至少</w:t>
      </w:r>
      <w:r w:rsidRPr="007C35CE">
        <w:rPr>
          <w:rFonts w:ascii="新細明體" w:hint="eastAsia"/>
        </w:rPr>
        <w:t>隨機抽查</w:t>
      </w:r>
      <w:r w:rsidR="009B32F0">
        <w:rPr>
          <w:rFonts w:ascii="新細明體" w:hint="eastAsia"/>
        </w:rPr>
        <w:t>二</w:t>
      </w:r>
      <w:r w:rsidRPr="007C35CE">
        <w:rPr>
          <w:rFonts w:ascii="新細明體" w:hint="eastAsia"/>
        </w:rPr>
        <w:t>日</w:t>
      </w:r>
      <w:r w:rsidR="00E969D0">
        <w:rPr>
          <w:rFonts w:ascii="新細明體" w:hint="eastAsia"/>
        </w:rPr>
        <w:tab/>
      </w:r>
      <w:r w:rsidRPr="007C35CE">
        <w:rPr>
          <w:rFonts w:ascii="新細明體" w:hint="eastAsia"/>
          <w:sz w:val="20"/>
        </w:rPr>
        <w:t>受查期間：</w:t>
      </w:r>
      <w:r w:rsidRPr="007C35CE">
        <w:rPr>
          <w:rFonts w:ascii="新細明體"/>
          <w:sz w:val="20"/>
        </w:rPr>
        <w:t xml:space="preserve">  </w:t>
      </w:r>
      <w:r w:rsidRPr="007C35CE">
        <w:rPr>
          <w:rFonts w:ascii="新細明體" w:hint="eastAsia"/>
          <w:sz w:val="20"/>
        </w:rPr>
        <w:t>年</w:t>
      </w:r>
      <w:r w:rsidRPr="007C35CE">
        <w:rPr>
          <w:rFonts w:ascii="新細明體"/>
          <w:sz w:val="20"/>
        </w:rPr>
        <w:t xml:space="preserve">  </w:t>
      </w:r>
      <w:r w:rsidRPr="007C35CE">
        <w:rPr>
          <w:rFonts w:ascii="新細明體" w:hint="eastAsia"/>
          <w:sz w:val="20"/>
        </w:rPr>
        <w:t>月</w:t>
      </w:r>
      <w:r w:rsidRPr="007C35CE">
        <w:rPr>
          <w:rFonts w:ascii="新細明體"/>
          <w:sz w:val="20"/>
        </w:rPr>
        <w:t xml:space="preserve">  </w:t>
      </w:r>
      <w:r w:rsidRPr="007C35CE">
        <w:rPr>
          <w:rFonts w:ascii="新細明體" w:hint="eastAsia"/>
          <w:sz w:val="20"/>
        </w:rPr>
        <w:t>日至</w:t>
      </w:r>
      <w:r w:rsidRPr="007C35CE">
        <w:rPr>
          <w:rFonts w:ascii="新細明體"/>
          <w:sz w:val="20"/>
        </w:rPr>
        <w:t xml:space="preserve">  </w:t>
      </w:r>
      <w:r w:rsidRPr="007C35CE">
        <w:rPr>
          <w:rFonts w:ascii="新細明體" w:hint="eastAsia"/>
          <w:sz w:val="20"/>
        </w:rPr>
        <w:t>年</w:t>
      </w:r>
      <w:r w:rsidRPr="007C35CE">
        <w:rPr>
          <w:rFonts w:ascii="新細明體"/>
          <w:sz w:val="20"/>
        </w:rPr>
        <w:t xml:space="preserve">  </w:t>
      </w:r>
      <w:r w:rsidRPr="007C35CE">
        <w:rPr>
          <w:rFonts w:ascii="新細明體" w:hint="eastAsia"/>
          <w:sz w:val="20"/>
        </w:rPr>
        <w:t>月</w:t>
      </w:r>
      <w:r w:rsidRPr="007C35CE">
        <w:rPr>
          <w:rFonts w:ascii="新細明體"/>
          <w:sz w:val="20"/>
        </w:rPr>
        <w:t xml:space="preserve">  </w:t>
      </w:r>
      <w:r w:rsidRPr="007C35CE">
        <w:rPr>
          <w:rFonts w:ascii="新細明體" w:hint="eastAsia"/>
          <w:sz w:val="20"/>
        </w:rPr>
        <w:t>日</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92"/>
        <w:gridCol w:w="709"/>
        <w:gridCol w:w="567"/>
        <w:gridCol w:w="709"/>
        <w:gridCol w:w="850"/>
        <w:gridCol w:w="1418"/>
        <w:gridCol w:w="850"/>
        <w:gridCol w:w="851"/>
        <w:gridCol w:w="1559"/>
        <w:gridCol w:w="1417"/>
        <w:gridCol w:w="1701"/>
        <w:gridCol w:w="993"/>
        <w:gridCol w:w="1701"/>
        <w:gridCol w:w="1134"/>
      </w:tblGrid>
      <w:tr w:rsidR="00DF53EC" w14:paraId="127CD0E1" w14:textId="77777777" w:rsidTr="009C5083">
        <w:trPr>
          <w:trHeight w:val="976"/>
        </w:trPr>
        <w:tc>
          <w:tcPr>
            <w:tcW w:w="568" w:type="dxa"/>
            <w:vMerge w:val="restart"/>
            <w:textDirection w:val="tbRlV"/>
            <w:vAlign w:val="center"/>
          </w:tcPr>
          <w:p w14:paraId="7132F748" w14:textId="15B29920" w:rsidR="00DF53EC" w:rsidRPr="00DF53EC" w:rsidRDefault="00DF53EC" w:rsidP="00021ED8">
            <w:pPr>
              <w:spacing w:line="240" w:lineRule="exact"/>
              <w:ind w:left="113" w:right="113"/>
              <w:jc w:val="center"/>
              <w:rPr>
                <w:rFonts w:ascii="新細明體" w:hAnsi="新細明體"/>
                <w:snapToGrid w:val="0"/>
                <w:spacing w:val="20"/>
                <w:kern w:val="0"/>
                <w:sz w:val="18"/>
                <w:szCs w:val="18"/>
              </w:rPr>
            </w:pPr>
            <w:r w:rsidRPr="00DF53EC">
              <w:rPr>
                <w:rFonts w:ascii="新細明體" w:hAnsi="新細明體" w:hint="eastAsia"/>
                <w:snapToGrid w:val="0"/>
                <w:spacing w:val="20"/>
                <w:kern w:val="0"/>
                <w:sz w:val="18"/>
                <w:szCs w:val="18"/>
              </w:rPr>
              <w:t>查</w:t>
            </w:r>
            <w:r w:rsidR="00021ED8">
              <w:rPr>
                <w:rFonts w:ascii="新細明體" w:hAnsi="新細明體" w:hint="eastAsia"/>
                <w:snapToGrid w:val="0"/>
                <w:spacing w:val="20"/>
                <w:kern w:val="0"/>
                <w:sz w:val="18"/>
                <w:szCs w:val="18"/>
              </w:rPr>
              <w:t xml:space="preserve">   </w:t>
            </w:r>
            <w:r w:rsidRPr="00DF53EC">
              <w:rPr>
                <w:rFonts w:ascii="新細明體" w:hAnsi="新細明體" w:hint="eastAsia"/>
                <w:snapToGrid w:val="0"/>
                <w:spacing w:val="20"/>
                <w:kern w:val="0"/>
                <w:sz w:val="18"/>
                <w:szCs w:val="18"/>
              </w:rPr>
              <w:t>核</w:t>
            </w:r>
            <w:r w:rsidR="00021ED8">
              <w:rPr>
                <w:rFonts w:ascii="新細明體" w:hAnsi="新細明體" w:hint="eastAsia"/>
                <w:snapToGrid w:val="0"/>
                <w:spacing w:val="20"/>
                <w:kern w:val="0"/>
                <w:sz w:val="18"/>
                <w:szCs w:val="18"/>
              </w:rPr>
              <w:t xml:space="preserve">   </w:t>
            </w:r>
            <w:r w:rsidRPr="00DF53EC">
              <w:rPr>
                <w:rFonts w:ascii="新細明體" w:hAnsi="新細明體" w:hint="eastAsia"/>
                <w:snapToGrid w:val="0"/>
                <w:spacing w:val="20"/>
                <w:kern w:val="0"/>
                <w:sz w:val="18"/>
                <w:szCs w:val="18"/>
              </w:rPr>
              <w:t>日</w:t>
            </w:r>
            <w:r w:rsidR="00021ED8">
              <w:rPr>
                <w:rFonts w:ascii="新細明體" w:hAnsi="新細明體" w:hint="eastAsia"/>
                <w:snapToGrid w:val="0"/>
                <w:spacing w:val="20"/>
                <w:kern w:val="0"/>
                <w:sz w:val="18"/>
                <w:szCs w:val="18"/>
              </w:rPr>
              <w:t xml:space="preserve">   </w:t>
            </w:r>
            <w:r w:rsidRPr="00DF53EC">
              <w:rPr>
                <w:rFonts w:ascii="新細明體" w:hAnsi="新細明體" w:hint="eastAsia"/>
                <w:snapToGrid w:val="0"/>
                <w:spacing w:val="20"/>
                <w:kern w:val="0"/>
                <w:sz w:val="18"/>
                <w:szCs w:val="18"/>
              </w:rPr>
              <w:t>期</w:t>
            </w:r>
          </w:p>
        </w:tc>
        <w:tc>
          <w:tcPr>
            <w:tcW w:w="992" w:type="dxa"/>
            <w:vMerge w:val="restart"/>
            <w:textDirection w:val="tbRlV"/>
            <w:vAlign w:val="center"/>
          </w:tcPr>
          <w:p w14:paraId="441CF78D" w14:textId="5B6AA659" w:rsidR="00DF53EC" w:rsidRPr="0079634C" w:rsidRDefault="00C566DF" w:rsidP="00E51144">
            <w:pPr>
              <w:spacing w:line="240" w:lineRule="exact"/>
              <w:ind w:left="113" w:right="113"/>
              <w:jc w:val="both"/>
              <w:rPr>
                <w:rFonts w:ascii="新細明體" w:hAnsi="新細明體"/>
                <w:sz w:val="18"/>
                <w:szCs w:val="18"/>
              </w:rPr>
            </w:pPr>
            <w:r>
              <w:rPr>
                <w:rFonts w:ascii="新細明體" w:hAnsi="新細明體" w:hint="eastAsia"/>
                <w:sz w:val="18"/>
                <w:szCs w:val="18"/>
              </w:rPr>
              <w:t>報表</w:t>
            </w:r>
            <w:r w:rsidR="00DF53EC" w:rsidRPr="00DF53EC">
              <w:rPr>
                <w:rFonts w:ascii="新細明體" w:hAnsi="新細明體" w:hint="eastAsia"/>
                <w:sz w:val="18"/>
                <w:szCs w:val="18"/>
              </w:rPr>
              <w:t>等情事，並本於誠實信用及專業管理原</w:t>
            </w:r>
            <w:r w:rsidR="0079634C" w:rsidRPr="00DF53EC">
              <w:rPr>
                <w:rFonts w:ascii="新細明體" w:hAnsi="新細明體" w:hint="eastAsia"/>
                <w:sz w:val="18"/>
                <w:szCs w:val="18"/>
              </w:rPr>
              <w:t>則辦理</w:t>
            </w:r>
          </w:p>
          <w:p w14:paraId="2651A79A" w14:textId="339F740E" w:rsidR="00DF53EC" w:rsidRPr="00DF53EC" w:rsidRDefault="00DF53EC" w:rsidP="00E51144">
            <w:pPr>
              <w:spacing w:line="240" w:lineRule="exact"/>
              <w:ind w:left="113" w:right="113"/>
              <w:jc w:val="both"/>
              <w:rPr>
                <w:rFonts w:ascii="新細明體" w:hAnsi="新細明體"/>
                <w:sz w:val="18"/>
                <w:szCs w:val="18"/>
              </w:rPr>
            </w:pPr>
            <w:r w:rsidRPr="00DF53EC">
              <w:rPr>
                <w:rFonts w:ascii="新細明體" w:hAnsi="新細明體" w:hint="eastAsia"/>
                <w:sz w:val="18"/>
                <w:szCs w:val="18"/>
              </w:rPr>
              <w:t>為自身</w:t>
            </w:r>
            <w:r w:rsidR="00C566DF" w:rsidRPr="002C5BBF">
              <w:rPr>
                <w:rFonts w:ascii="新細明體" w:hAnsi="新細明體" w:hint="eastAsia"/>
                <w:sz w:val="18"/>
                <w:szCs w:val="18"/>
              </w:rPr>
              <w:t>或接受</w:t>
            </w:r>
            <w:r w:rsidRPr="00DF53EC">
              <w:rPr>
                <w:rFonts w:ascii="新細明體" w:hAnsi="新細明體" w:hint="eastAsia"/>
                <w:sz w:val="18"/>
                <w:szCs w:val="18"/>
              </w:rPr>
              <w:t>特定人指定，進行併購、從事不法交易、</w:t>
            </w:r>
            <w:r w:rsidR="0079634C" w:rsidRPr="00DF53EC">
              <w:rPr>
                <w:rFonts w:ascii="新細明體" w:hAnsi="新細明體" w:hint="eastAsia"/>
                <w:sz w:val="18"/>
                <w:szCs w:val="18"/>
              </w:rPr>
              <w:t>粉飾或操縱財務</w:t>
            </w:r>
          </w:p>
          <w:p w14:paraId="25978E72" w14:textId="36CADAC0" w:rsidR="00DF53EC" w:rsidRPr="00DF53EC" w:rsidRDefault="00DF53EC" w:rsidP="00E51144">
            <w:pPr>
              <w:spacing w:line="240" w:lineRule="exact"/>
              <w:ind w:left="113" w:right="113"/>
              <w:jc w:val="both"/>
              <w:rPr>
                <w:rFonts w:ascii="新細明體" w:hAnsi="新細明體"/>
                <w:snapToGrid w:val="0"/>
                <w:spacing w:val="20"/>
                <w:kern w:val="0"/>
                <w:sz w:val="18"/>
                <w:szCs w:val="18"/>
              </w:rPr>
            </w:pPr>
            <w:r w:rsidRPr="00DF53EC">
              <w:rPr>
                <w:rFonts w:ascii="新細明體" w:hAnsi="新細明體" w:hint="eastAsia"/>
                <w:sz w:val="18"/>
                <w:szCs w:val="18"/>
              </w:rPr>
              <w:t>經營本業務是否設立獨立帳戶，未與受託買賣帳戶相互流用</w:t>
            </w:r>
            <w:r w:rsidR="0079634C" w:rsidRPr="00DF53EC">
              <w:rPr>
                <w:rFonts w:ascii="新細明體" w:hAnsi="新細明體" w:hint="eastAsia"/>
                <w:sz w:val="18"/>
                <w:szCs w:val="18"/>
              </w:rPr>
              <w:t>，且未接受</w:t>
            </w:r>
          </w:p>
        </w:tc>
        <w:tc>
          <w:tcPr>
            <w:tcW w:w="1276" w:type="dxa"/>
            <w:gridSpan w:val="2"/>
            <w:vAlign w:val="center"/>
          </w:tcPr>
          <w:p w14:paraId="42407A8A" w14:textId="77777777" w:rsidR="00DF53EC" w:rsidRPr="0079634C" w:rsidRDefault="00DF53EC" w:rsidP="004072FD">
            <w:pPr>
              <w:spacing w:line="240" w:lineRule="exact"/>
              <w:jc w:val="both"/>
              <w:rPr>
                <w:rFonts w:ascii="新細明體" w:hAnsi="新細明體"/>
                <w:snapToGrid w:val="0"/>
                <w:kern w:val="0"/>
                <w:sz w:val="20"/>
              </w:rPr>
            </w:pPr>
            <w:r w:rsidRPr="0079634C">
              <w:rPr>
                <w:rFonts w:ascii="新細明體" w:hAnsi="新細明體" w:hint="eastAsia"/>
                <w:sz w:val="20"/>
              </w:rPr>
              <w:t>自行買賣外國有價證券業務若採全權委託方式辦理</w:t>
            </w:r>
          </w:p>
        </w:tc>
        <w:tc>
          <w:tcPr>
            <w:tcW w:w="2977" w:type="dxa"/>
            <w:gridSpan w:val="3"/>
            <w:vAlign w:val="center"/>
          </w:tcPr>
          <w:p w14:paraId="2737B77B" w14:textId="77777777" w:rsidR="004E1DB4" w:rsidRPr="0079634C" w:rsidRDefault="00DF53EC" w:rsidP="004072FD">
            <w:pPr>
              <w:spacing w:line="240" w:lineRule="exact"/>
              <w:ind w:left="113" w:right="113"/>
              <w:jc w:val="center"/>
              <w:rPr>
                <w:rFonts w:ascii="新細明體" w:hAnsi="新細明體"/>
                <w:snapToGrid w:val="0"/>
                <w:kern w:val="0"/>
                <w:sz w:val="20"/>
              </w:rPr>
            </w:pPr>
            <w:r w:rsidRPr="0079634C">
              <w:rPr>
                <w:rFonts w:ascii="新細明體" w:hAnsi="新細明體" w:hint="eastAsia"/>
                <w:snapToGrid w:val="0"/>
                <w:kern w:val="0"/>
                <w:sz w:val="20"/>
              </w:rPr>
              <w:t>於證券商營業處所</w:t>
            </w:r>
          </w:p>
          <w:p w14:paraId="3EA9D2C7" w14:textId="3FDD489E" w:rsidR="00DF53EC" w:rsidRPr="00DF53EC" w:rsidRDefault="00DF53EC" w:rsidP="004072FD">
            <w:pPr>
              <w:spacing w:line="240" w:lineRule="exact"/>
              <w:ind w:left="113" w:right="113"/>
              <w:jc w:val="center"/>
              <w:rPr>
                <w:rFonts w:ascii="新細明體" w:hAnsi="新細明體"/>
                <w:snapToGrid w:val="0"/>
                <w:kern w:val="0"/>
                <w:sz w:val="18"/>
                <w:szCs w:val="18"/>
              </w:rPr>
            </w:pPr>
            <w:r w:rsidRPr="0079634C">
              <w:rPr>
                <w:rFonts w:ascii="新細明體" w:hAnsi="新細明體" w:hint="eastAsia"/>
                <w:snapToGrid w:val="0"/>
                <w:kern w:val="0"/>
                <w:sz w:val="20"/>
              </w:rPr>
              <w:t>自行買賣外國債券</w:t>
            </w:r>
          </w:p>
        </w:tc>
        <w:tc>
          <w:tcPr>
            <w:tcW w:w="10206" w:type="dxa"/>
            <w:gridSpan w:val="8"/>
            <w:vAlign w:val="center"/>
          </w:tcPr>
          <w:p w14:paraId="47BEAE93" w14:textId="5CCFC28F" w:rsidR="00DF53EC" w:rsidRDefault="00DF53EC" w:rsidP="0049042C">
            <w:pPr>
              <w:spacing w:line="280" w:lineRule="exact"/>
              <w:ind w:left="113" w:right="113"/>
              <w:jc w:val="center"/>
              <w:rPr>
                <w:rFonts w:ascii="新細明體" w:hAnsi="新細明體"/>
                <w:snapToGrid w:val="0"/>
                <w:kern w:val="0"/>
                <w:sz w:val="20"/>
              </w:rPr>
            </w:pPr>
            <w:r w:rsidRPr="0079634C">
              <w:rPr>
                <w:rFonts w:ascii="新細明體" w:hAnsi="新細明體" w:hint="eastAsia"/>
                <w:snapToGrid w:val="0"/>
                <w:kern w:val="0"/>
                <w:sz w:val="20"/>
              </w:rPr>
              <w:t>自行買賣外國有價證券部位及從事外國衍生性金融商品交易之總額與信用評等限制及資本適足比率控管</w:t>
            </w:r>
          </w:p>
          <w:p w14:paraId="1408038C" w14:textId="6A23ED93" w:rsidR="0079634C" w:rsidRPr="00373BFD" w:rsidRDefault="0079634C" w:rsidP="0049042C">
            <w:pPr>
              <w:spacing w:line="280" w:lineRule="exact"/>
              <w:ind w:left="113" w:right="113"/>
              <w:jc w:val="center"/>
              <w:rPr>
                <w:rFonts w:ascii="新細明體" w:hAnsi="新細明體"/>
                <w:snapToGrid w:val="0"/>
                <w:kern w:val="0"/>
                <w:sz w:val="18"/>
                <w:szCs w:val="18"/>
              </w:rPr>
            </w:pPr>
            <w:r w:rsidRPr="00373BFD">
              <w:rPr>
                <w:rFonts w:ascii="新細明體" w:hAnsi="新細明體" w:hint="eastAsia"/>
                <w:snapToGrid w:val="0"/>
                <w:kern w:val="0"/>
                <w:sz w:val="18"/>
                <w:szCs w:val="18"/>
              </w:rPr>
              <w:t>(依據</w:t>
            </w:r>
            <w:r w:rsidRPr="00373BFD">
              <w:rPr>
                <w:rFonts w:ascii="標楷體" w:eastAsia="標楷體" w:hAnsi="標楷體" w:hint="eastAsia"/>
                <w:snapToGrid w:val="0"/>
                <w:kern w:val="0"/>
                <w:sz w:val="18"/>
                <w:szCs w:val="18"/>
              </w:rPr>
              <w:t>：</w:t>
            </w:r>
            <w:r w:rsidR="00796270" w:rsidRPr="00373BFD">
              <w:rPr>
                <w:rFonts w:ascii="新細明體" w:hAnsi="新細明體" w:hint="eastAsia"/>
                <w:color w:val="FF0000"/>
                <w:kern w:val="0"/>
                <w:sz w:val="18"/>
                <w:szCs w:val="18"/>
                <w:u w:val="single"/>
              </w:rPr>
              <w:t>111年6月1日金管證券字第1110338026號令</w:t>
            </w:r>
            <w:r w:rsidRPr="00373BFD">
              <w:rPr>
                <w:rFonts w:ascii="新細明體" w:hAnsi="新細明體" w:hint="eastAsia"/>
                <w:kern w:val="0"/>
                <w:sz w:val="18"/>
                <w:szCs w:val="18"/>
              </w:rPr>
              <w:t>第四</w:t>
            </w:r>
            <w:r w:rsidR="00796270" w:rsidRPr="00373BFD">
              <w:rPr>
                <w:rFonts w:ascii="新細明體" w:hAnsi="新細明體" w:hint="eastAsia"/>
                <w:color w:val="FF0000"/>
                <w:kern w:val="0"/>
                <w:sz w:val="18"/>
                <w:szCs w:val="18"/>
                <w:u w:val="single"/>
              </w:rPr>
              <w:t>條</w:t>
            </w:r>
            <w:r w:rsidR="00AB5B95" w:rsidRPr="00373BFD">
              <w:rPr>
                <w:rFonts w:ascii="新細明體" w:hAnsi="新細明體" w:hint="eastAsia"/>
                <w:strike/>
                <w:color w:val="FF0000"/>
                <w:kern w:val="0"/>
                <w:sz w:val="18"/>
                <w:szCs w:val="18"/>
                <w:u w:val="single"/>
              </w:rPr>
              <w:t>點</w:t>
            </w:r>
            <w:r w:rsidR="00C566DF" w:rsidRPr="00373BFD">
              <w:rPr>
                <w:rFonts w:ascii="新細明體" w:hAnsi="新細明體" w:hint="eastAsia"/>
                <w:strike/>
                <w:color w:val="FF0000"/>
                <w:kern w:val="0"/>
                <w:sz w:val="18"/>
                <w:szCs w:val="18"/>
              </w:rPr>
              <w:t>(一)至(七)</w:t>
            </w:r>
            <w:r w:rsidR="00C566DF" w:rsidRPr="00373BFD">
              <w:rPr>
                <w:rFonts w:ascii="標楷體" w:eastAsia="標楷體" w:hAnsi="標楷體" w:hint="eastAsia"/>
                <w:kern w:val="0"/>
                <w:sz w:val="18"/>
                <w:szCs w:val="18"/>
              </w:rPr>
              <w:t>、</w:t>
            </w:r>
            <w:r w:rsidR="00C566DF" w:rsidRPr="00373BFD">
              <w:rPr>
                <w:rFonts w:ascii="新細明體" w:hAnsi="新細明體" w:hint="eastAsia"/>
                <w:kern w:val="0"/>
                <w:sz w:val="18"/>
                <w:szCs w:val="18"/>
              </w:rPr>
              <w:t>第五</w:t>
            </w:r>
            <w:r w:rsidR="00796270" w:rsidRPr="00373BFD">
              <w:rPr>
                <w:rFonts w:ascii="新細明體" w:hAnsi="新細明體" w:hint="eastAsia"/>
                <w:color w:val="FF0000"/>
                <w:kern w:val="0"/>
                <w:sz w:val="18"/>
                <w:szCs w:val="18"/>
                <w:u w:val="single"/>
              </w:rPr>
              <w:t>條</w:t>
            </w:r>
            <w:r w:rsidR="00AB5B95" w:rsidRPr="00373BFD">
              <w:rPr>
                <w:rFonts w:ascii="新細明體" w:hAnsi="新細明體" w:hint="eastAsia"/>
                <w:strike/>
                <w:color w:val="FF0000"/>
                <w:kern w:val="0"/>
                <w:sz w:val="18"/>
                <w:szCs w:val="18"/>
                <w:u w:val="single"/>
              </w:rPr>
              <w:t>點</w:t>
            </w:r>
            <w:r w:rsidR="00E3237B" w:rsidRPr="00373BFD">
              <w:rPr>
                <w:rFonts w:ascii="標楷體" w:eastAsia="標楷體" w:hAnsi="標楷體" w:hint="eastAsia"/>
                <w:kern w:val="0"/>
                <w:sz w:val="18"/>
                <w:szCs w:val="18"/>
              </w:rPr>
              <w:t>、</w:t>
            </w:r>
            <w:r w:rsidR="00E3237B" w:rsidRPr="00373BFD">
              <w:rPr>
                <w:rFonts w:ascii="新細明體" w:hAnsi="新細明體" w:hint="eastAsia"/>
                <w:kern w:val="0"/>
                <w:sz w:val="18"/>
                <w:szCs w:val="18"/>
              </w:rPr>
              <w:t>證券商管理規則第31條之4</w:t>
            </w:r>
            <w:r w:rsidRPr="00373BFD">
              <w:rPr>
                <w:rFonts w:ascii="新細明體" w:hAnsi="新細明體" w:hint="eastAsia"/>
                <w:snapToGrid w:val="0"/>
                <w:kern w:val="0"/>
                <w:sz w:val="18"/>
                <w:szCs w:val="18"/>
              </w:rPr>
              <w:t>)</w:t>
            </w:r>
          </w:p>
        </w:tc>
      </w:tr>
      <w:tr w:rsidR="000B5E40" w14:paraId="29EE4E61" w14:textId="77777777" w:rsidTr="009C5083">
        <w:trPr>
          <w:cantSplit/>
          <w:trHeight w:val="4591"/>
        </w:trPr>
        <w:tc>
          <w:tcPr>
            <w:tcW w:w="568" w:type="dxa"/>
            <w:vMerge/>
            <w:textDirection w:val="tbRlV"/>
            <w:vAlign w:val="center"/>
          </w:tcPr>
          <w:p w14:paraId="5965F1FF" w14:textId="77777777" w:rsidR="000B5E40" w:rsidRPr="00DF53EC" w:rsidRDefault="000B5E40" w:rsidP="00916066">
            <w:pPr>
              <w:spacing w:line="240" w:lineRule="exact"/>
              <w:ind w:left="113" w:right="113"/>
              <w:jc w:val="distribute"/>
              <w:rPr>
                <w:rFonts w:ascii="新細明體" w:hAnsi="新細明體"/>
                <w:snapToGrid w:val="0"/>
                <w:spacing w:val="20"/>
                <w:kern w:val="0"/>
                <w:sz w:val="18"/>
                <w:szCs w:val="18"/>
              </w:rPr>
            </w:pPr>
          </w:p>
        </w:tc>
        <w:tc>
          <w:tcPr>
            <w:tcW w:w="992" w:type="dxa"/>
            <w:vMerge/>
            <w:textDirection w:val="tbRlV"/>
          </w:tcPr>
          <w:p w14:paraId="3701AE8F" w14:textId="77777777" w:rsidR="000B5E40" w:rsidRPr="00DF53EC" w:rsidRDefault="000B5E40" w:rsidP="00916066">
            <w:pPr>
              <w:spacing w:line="240" w:lineRule="exact"/>
              <w:ind w:left="113" w:right="113"/>
              <w:jc w:val="both"/>
              <w:rPr>
                <w:rFonts w:ascii="新細明體" w:hAnsi="新細明體"/>
                <w:color w:val="FF0000"/>
                <w:sz w:val="18"/>
                <w:szCs w:val="18"/>
                <w:u w:val="single"/>
              </w:rPr>
            </w:pPr>
          </w:p>
        </w:tc>
        <w:tc>
          <w:tcPr>
            <w:tcW w:w="709" w:type="dxa"/>
            <w:textDirection w:val="tbRlV"/>
            <w:vAlign w:val="center"/>
          </w:tcPr>
          <w:p w14:paraId="56928581" w14:textId="77777777" w:rsidR="000B5E40" w:rsidRPr="00DF53EC" w:rsidRDefault="000B5E40" w:rsidP="004D62D2">
            <w:pPr>
              <w:spacing w:line="240" w:lineRule="exact"/>
              <w:ind w:left="113" w:right="113"/>
              <w:jc w:val="both"/>
              <w:rPr>
                <w:rFonts w:ascii="新細明體" w:hAnsi="新細明體"/>
                <w:sz w:val="18"/>
                <w:szCs w:val="18"/>
              </w:rPr>
            </w:pPr>
            <w:r w:rsidRPr="00DF53EC">
              <w:rPr>
                <w:rFonts w:ascii="新細明體" w:hAnsi="新細明體" w:hint="eastAsia"/>
                <w:sz w:val="18"/>
                <w:szCs w:val="18"/>
              </w:rPr>
              <w:t>於內部控制制度，並應經董事會通過</w:t>
            </w:r>
          </w:p>
          <w:p w14:paraId="4E1892BC" w14:textId="77777777" w:rsidR="000B5E40" w:rsidRPr="00DF53EC" w:rsidRDefault="000B5E40" w:rsidP="004D62D2">
            <w:pPr>
              <w:spacing w:line="240" w:lineRule="exact"/>
              <w:ind w:left="113" w:right="113"/>
              <w:jc w:val="both"/>
              <w:rPr>
                <w:rFonts w:ascii="新細明體" w:hAnsi="新細明體"/>
                <w:color w:val="FF0000"/>
                <w:sz w:val="18"/>
                <w:szCs w:val="18"/>
                <w:u w:val="single"/>
              </w:rPr>
            </w:pPr>
            <w:r w:rsidRPr="00DF53EC">
              <w:rPr>
                <w:rFonts w:ascii="新細明體" w:hAnsi="新細明體" w:hint="eastAsia"/>
                <w:sz w:val="18"/>
                <w:szCs w:val="18"/>
              </w:rPr>
              <w:t>是否考慮風險分散、經營績效及利益衝突等，明訂</w:t>
            </w:r>
          </w:p>
        </w:tc>
        <w:tc>
          <w:tcPr>
            <w:tcW w:w="567" w:type="dxa"/>
            <w:textDirection w:val="tbRlV"/>
            <w:vAlign w:val="center"/>
          </w:tcPr>
          <w:p w14:paraId="1FC20D37" w14:textId="77777777" w:rsidR="000B5E40" w:rsidRPr="00DF53EC" w:rsidRDefault="000B5E40" w:rsidP="004D62D2">
            <w:pPr>
              <w:spacing w:line="240" w:lineRule="exact"/>
              <w:ind w:left="113" w:right="113"/>
              <w:jc w:val="both"/>
              <w:rPr>
                <w:rFonts w:ascii="新細明體" w:hAnsi="新細明體"/>
                <w:color w:val="FF0000"/>
                <w:sz w:val="18"/>
                <w:szCs w:val="18"/>
                <w:u w:val="single"/>
              </w:rPr>
            </w:pPr>
            <w:r w:rsidRPr="00DF53EC">
              <w:rPr>
                <w:rFonts w:ascii="新細明體" w:hAnsi="新細明體" w:hint="eastAsia"/>
                <w:sz w:val="18"/>
                <w:szCs w:val="18"/>
              </w:rPr>
              <w:t>是否定期評估受託機構之經營績效</w:t>
            </w:r>
          </w:p>
        </w:tc>
        <w:tc>
          <w:tcPr>
            <w:tcW w:w="709" w:type="dxa"/>
            <w:textDirection w:val="tbRlV"/>
            <w:vAlign w:val="center"/>
          </w:tcPr>
          <w:p w14:paraId="7281C56D" w14:textId="0E0BEA8D" w:rsidR="000B5E40" w:rsidRPr="00DF53EC" w:rsidRDefault="000B5E40" w:rsidP="004D62D2">
            <w:pPr>
              <w:spacing w:line="240" w:lineRule="exact"/>
              <w:ind w:left="113" w:right="113"/>
              <w:jc w:val="both"/>
              <w:rPr>
                <w:rFonts w:ascii="新細明體" w:hAnsi="新細明體"/>
                <w:snapToGrid w:val="0"/>
                <w:kern w:val="0"/>
                <w:sz w:val="18"/>
                <w:szCs w:val="18"/>
              </w:rPr>
            </w:pPr>
            <w:r w:rsidRPr="00DF53EC">
              <w:rPr>
                <w:rFonts w:ascii="新細明體" w:hAnsi="新細明體" w:hint="eastAsia"/>
                <w:snapToGrid w:val="0"/>
                <w:kern w:val="0"/>
                <w:sz w:val="18"/>
                <w:szCs w:val="18"/>
              </w:rPr>
              <w:t>（已登錄者除外）</w:t>
            </w:r>
          </w:p>
          <w:p w14:paraId="777FED9E" w14:textId="1620B5A7" w:rsidR="000B5E40" w:rsidRPr="00DF53EC" w:rsidRDefault="000B5E40" w:rsidP="004072FD">
            <w:pPr>
              <w:spacing w:line="240" w:lineRule="exact"/>
              <w:ind w:left="113" w:right="113"/>
              <w:jc w:val="both"/>
              <w:rPr>
                <w:rFonts w:ascii="新細明體" w:hAnsi="新細明體"/>
                <w:snapToGrid w:val="0"/>
                <w:kern w:val="0"/>
                <w:sz w:val="18"/>
                <w:szCs w:val="18"/>
              </w:rPr>
            </w:pPr>
            <w:r w:rsidRPr="00DF53EC">
              <w:rPr>
                <w:rFonts w:ascii="新細明體" w:hAnsi="新細明體" w:hint="eastAsia"/>
                <w:snapToGrid w:val="0"/>
                <w:kern w:val="0"/>
                <w:sz w:val="18"/>
                <w:szCs w:val="18"/>
              </w:rPr>
              <w:t>所買賣之外國債券是否已向</w:t>
            </w:r>
            <w:r w:rsidR="002C5BBF" w:rsidRPr="00DF53EC">
              <w:rPr>
                <w:rFonts w:ascii="新細明體" w:hAnsi="新細明體" w:hint="eastAsia"/>
                <w:snapToGrid w:val="0"/>
                <w:kern w:val="0"/>
                <w:sz w:val="18"/>
                <w:szCs w:val="18"/>
              </w:rPr>
              <w:t>櫃檯買賣中心辦理登錄</w:t>
            </w:r>
          </w:p>
        </w:tc>
        <w:tc>
          <w:tcPr>
            <w:tcW w:w="850" w:type="dxa"/>
            <w:textDirection w:val="tbRlV"/>
            <w:vAlign w:val="center"/>
          </w:tcPr>
          <w:p w14:paraId="25A5BD31" w14:textId="389EE203" w:rsidR="004E1DB4" w:rsidRPr="002C5BBF" w:rsidRDefault="004E1DB4" w:rsidP="004072FD">
            <w:pPr>
              <w:spacing w:line="240" w:lineRule="exact"/>
              <w:ind w:left="113" w:right="113"/>
              <w:jc w:val="both"/>
              <w:rPr>
                <w:rFonts w:ascii="新細明體" w:hAnsi="新細明體"/>
                <w:snapToGrid w:val="0"/>
                <w:kern w:val="0"/>
                <w:sz w:val="18"/>
                <w:szCs w:val="18"/>
              </w:rPr>
            </w:pPr>
            <w:r w:rsidRPr="002C5BBF">
              <w:rPr>
                <w:rFonts w:ascii="新細明體" w:hAnsi="新細明體" w:hint="eastAsia"/>
                <w:sz w:val="18"/>
                <w:szCs w:val="18"/>
              </w:rPr>
              <w:t>第</w:t>
            </w:r>
            <w:r w:rsidR="00950AC0" w:rsidRPr="002C5BBF">
              <w:rPr>
                <w:rFonts w:ascii="新細明體" w:hAnsi="新細明體" w:hint="eastAsia"/>
                <w:sz w:val="18"/>
                <w:szCs w:val="18"/>
              </w:rPr>
              <w:t>17</w:t>
            </w:r>
            <w:r w:rsidRPr="002C5BBF">
              <w:rPr>
                <w:rFonts w:ascii="新細明體" w:hAnsi="新細明體" w:hint="eastAsia"/>
                <w:sz w:val="18"/>
                <w:szCs w:val="18"/>
              </w:rPr>
              <w:t>條第</w:t>
            </w:r>
            <w:r w:rsidR="00950AC0" w:rsidRPr="002C5BBF">
              <w:rPr>
                <w:rFonts w:ascii="新細明體" w:hAnsi="新細明體" w:hint="eastAsia"/>
                <w:sz w:val="18"/>
                <w:szCs w:val="18"/>
              </w:rPr>
              <w:t>1</w:t>
            </w:r>
            <w:r w:rsidRPr="002C5BBF">
              <w:rPr>
                <w:rFonts w:ascii="新細明體" w:hAnsi="新細明體" w:hint="eastAsia"/>
                <w:sz w:val="18"/>
                <w:szCs w:val="18"/>
              </w:rPr>
              <w:t>項第</w:t>
            </w:r>
            <w:r w:rsidR="00950AC0" w:rsidRPr="002C5BBF">
              <w:rPr>
                <w:rFonts w:ascii="新細明體" w:hAnsi="新細明體" w:hint="eastAsia"/>
                <w:sz w:val="18"/>
                <w:szCs w:val="18"/>
              </w:rPr>
              <w:t>1</w:t>
            </w:r>
            <w:r w:rsidRPr="002C5BBF">
              <w:rPr>
                <w:rFonts w:ascii="新細明體" w:hAnsi="新細明體" w:hint="eastAsia"/>
                <w:sz w:val="18"/>
                <w:szCs w:val="18"/>
              </w:rPr>
              <w:t>款至第</w:t>
            </w:r>
            <w:r w:rsidR="00950AC0" w:rsidRPr="002C5BBF">
              <w:rPr>
                <w:rFonts w:ascii="新細明體" w:hAnsi="新細明體" w:hint="eastAsia"/>
                <w:sz w:val="18"/>
                <w:szCs w:val="18"/>
              </w:rPr>
              <w:t>3</w:t>
            </w:r>
            <w:r w:rsidRPr="002C5BBF">
              <w:rPr>
                <w:rFonts w:ascii="新細明體" w:hAnsi="新細明體" w:hint="eastAsia"/>
                <w:sz w:val="18"/>
                <w:szCs w:val="18"/>
              </w:rPr>
              <w:t>款所列之商品條件</w:t>
            </w:r>
          </w:p>
          <w:p w14:paraId="5C29FCC1" w14:textId="55F40810" w:rsidR="004E1DB4" w:rsidRPr="002C5BBF" w:rsidRDefault="004E1DB4" w:rsidP="004072FD">
            <w:pPr>
              <w:spacing w:line="240" w:lineRule="exact"/>
              <w:ind w:left="113" w:right="113"/>
              <w:jc w:val="both"/>
              <w:rPr>
                <w:rFonts w:ascii="新細明體" w:hAnsi="新細明體"/>
                <w:snapToGrid w:val="0"/>
                <w:kern w:val="0"/>
                <w:sz w:val="18"/>
                <w:szCs w:val="18"/>
              </w:rPr>
            </w:pPr>
            <w:r w:rsidRPr="002C5BBF">
              <w:rPr>
                <w:rFonts w:ascii="新細明體" w:hAnsi="新細明體" w:hint="eastAsia"/>
                <w:sz w:val="18"/>
                <w:szCs w:val="18"/>
              </w:rPr>
              <w:t>結構型債券，是否符合境外結構型商品管理規則</w:t>
            </w:r>
          </w:p>
          <w:p w14:paraId="6DC7E703" w14:textId="7599168D" w:rsidR="004E1DB4" w:rsidRPr="002C5BBF" w:rsidRDefault="004E1DB4" w:rsidP="004072FD">
            <w:pPr>
              <w:spacing w:line="240" w:lineRule="exact"/>
              <w:ind w:left="113" w:right="113"/>
              <w:jc w:val="both"/>
              <w:rPr>
                <w:rFonts w:ascii="新細明體" w:hAnsi="新細明體"/>
                <w:snapToGrid w:val="0"/>
                <w:kern w:val="0"/>
                <w:sz w:val="18"/>
                <w:szCs w:val="18"/>
              </w:rPr>
            </w:pPr>
            <w:r w:rsidRPr="002C5BBF">
              <w:rPr>
                <w:rFonts w:ascii="新細明體" w:hAnsi="新細明體" w:hint="eastAsia"/>
                <w:sz w:val="18"/>
                <w:szCs w:val="18"/>
              </w:rPr>
              <w:t>公司於營業處所與高資產客戶買賣外幣計價之</w:t>
            </w:r>
          </w:p>
        </w:tc>
        <w:tc>
          <w:tcPr>
            <w:tcW w:w="1418" w:type="dxa"/>
            <w:textDirection w:val="tbRlV"/>
          </w:tcPr>
          <w:p w14:paraId="406C2B10" w14:textId="77777777" w:rsidR="00A53D06" w:rsidRPr="002C5BBF" w:rsidRDefault="00A53D06" w:rsidP="00A53D06">
            <w:pPr>
              <w:spacing w:line="240" w:lineRule="exact"/>
              <w:ind w:left="113" w:right="113"/>
              <w:jc w:val="both"/>
              <w:rPr>
                <w:rFonts w:ascii="新細明體" w:hAnsi="新細明體"/>
                <w:sz w:val="18"/>
                <w:szCs w:val="18"/>
              </w:rPr>
            </w:pPr>
            <w:r w:rsidRPr="002C5BBF">
              <w:rPr>
                <w:rFonts w:ascii="新細明體" w:hAnsi="新細明體" w:hint="eastAsia"/>
                <w:sz w:val="18"/>
                <w:szCs w:val="18"/>
              </w:rPr>
              <w:t>及服務管理辦法」規定辦理</w:t>
            </w:r>
            <w:r w:rsidRPr="002C5BBF">
              <w:rPr>
                <w:rFonts w:ascii="標楷體" w:eastAsia="標楷體" w:hAnsi="標楷體" w:hint="eastAsia"/>
                <w:sz w:val="18"/>
                <w:szCs w:val="18"/>
              </w:rPr>
              <w:t>）</w:t>
            </w:r>
          </w:p>
          <w:p w14:paraId="0323B1AC" w14:textId="1B29049B" w:rsidR="00A53D06" w:rsidRPr="002C5BBF" w:rsidRDefault="00A53D06" w:rsidP="00A53D06">
            <w:pPr>
              <w:spacing w:line="240" w:lineRule="exact"/>
              <w:ind w:left="113" w:right="113"/>
              <w:jc w:val="both"/>
              <w:rPr>
                <w:rFonts w:ascii="新細明體" w:hAnsi="新細明體"/>
                <w:sz w:val="18"/>
                <w:szCs w:val="18"/>
              </w:rPr>
            </w:pPr>
            <w:r w:rsidRPr="002C5BBF">
              <w:rPr>
                <w:rFonts w:ascii="新細明體" w:hAnsi="新細明體" w:hint="eastAsia"/>
                <w:sz w:val="18"/>
                <w:szCs w:val="18"/>
              </w:rPr>
              <w:t>規定外，並應依「銀行辦理高資產客戶適用之金融商品</w:t>
            </w:r>
          </w:p>
          <w:p w14:paraId="784F662E" w14:textId="6965E9B4" w:rsidR="00A53D06" w:rsidRPr="002C5BBF" w:rsidRDefault="00A53D06" w:rsidP="00A53D06">
            <w:pPr>
              <w:spacing w:line="240" w:lineRule="exact"/>
              <w:ind w:left="113" w:right="113"/>
              <w:jc w:val="both"/>
              <w:rPr>
                <w:rFonts w:ascii="新細明體" w:hAnsi="新細明體"/>
                <w:snapToGrid w:val="0"/>
                <w:kern w:val="0"/>
                <w:sz w:val="18"/>
                <w:szCs w:val="18"/>
              </w:rPr>
            </w:pPr>
            <w:r w:rsidRPr="002C5BBF">
              <w:rPr>
                <w:rFonts w:ascii="新細明體" w:hAnsi="新細明體" w:hint="eastAsia"/>
                <w:sz w:val="18"/>
                <w:szCs w:val="18"/>
              </w:rPr>
              <w:t>務之外匯指定銀行與銀行國際金融業務分行者，除本項</w:t>
            </w:r>
          </w:p>
          <w:p w14:paraId="262F1BEF" w14:textId="2C69B6F2" w:rsidR="00A53D06" w:rsidRPr="002C5BBF" w:rsidRDefault="00A53D06" w:rsidP="00A53D06">
            <w:pPr>
              <w:spacing w:line="240" w:lineRule="exact"/>
              <w:ind w:left="113" w:right="113"/>
              <w:jc w:val="both"/>
              <w:rPr>
                <w:rFonts w:ascii="新細明體" w:hAnsi="新細明體"/>
                <w:sz w:val="18"/>
                <w:szCs w:val="18"/>
              </w:rPr>
            </w:pPr>
            <w:r w:rsidRPr="002C5BBF">
              <w:rPr>
                <w:rFonts w:ascii="新細明體" w:hAnsi="新細明體" w:hint="eastAsia"/>
                <w:sz w:val="18"/>
                <w:szCs w:val="18"/>
              </w:rPr>
              <w:t>第6條之1至第6條之3規定辦理（屬兼營證券自營業</w:t>
            </w:r>
          </w:p>
          <w:p w14:paraId="35CC84B3" w14:textId="7BFBCA1D" w:rsidR="004E1DB4" w:rsidRPr="002C5BBF" w:rsidRDefault="004E1DB4" w:rsidP="00A53D06">
            <w:pPr>
              <w:spacing w:line="240" w:lineRule="exact"/>
              <w:ind w:left="113" w:right="113"/>
              <w:jc w:val="both"/>
              <w:rPr>
                <w:rFonts w:ascii="新細明體" w:hAnsi="新細明體"/>
                <w:snapToGrid w:val="0"/>
                <w:kern w:val="0"/>
                <w:sz w:val="18"/>
                <w:szCs w:val="18"/>
              </w:rPr>
            </w:pPr>
            <w:r w:rsidRPr="002C5BBF">
              <w:rPr>
                <w:rFonts w:ascii="新細明體" w:hAnsi="新細明體" w:hint="eastAsia"/>
                <w:sz w:val="18"/>
                <w:szCs w:val="18"/>
              </w:rPr>
              <w:t>是否依櫃檯買賣中心證券商自行買賣外國債券</w:t>
            </w:r>
            <w:r w:rsidR="00A53D06" w:rsidRPr="002C5BBF">
              <w:rPr>
                <w:rFonts w:ascii="新細明體" w:hAnsi="新細明體" w:hint="eastAsia"/>
                <w:sz w:val="18"/>
                <w:szCs w:val="18"/>
              </w:rPr>
              <w:t>交易辦法</w:t>
            </w:r>
          </w:p>
        </w:tc>
        <w:tc>
          <w:tcPr>
            <w:tcW w:w="850" w:type="dxa"/>
            <w:textDirection w:val="tbRlV"/>
            <w:vAlign w:val="center"/>
          </w:tcPr>
          <w:p w14:paraId="020B8D50" w14:textId="77777777" w:rsidR="000B5E40" w:rsidRPr="008B01BB" w:rsidRDefault="000B5E40" w:rsidP="00916066">
            <w:pPr>
              <w:spacing w:line="240" w:lineRule="exact"/>
              <w:ind w:left="113" w:right="113"/>
              <w:jc w:val="both"/>
              <w:rPr>
                <w:rFonts w:ascii="新細明體" w:hAnsi="新細明體"/>
                <w:snapToGrid w:val="0"/>
                <w:kern w:val="0"/>
                <w:sz w:val="18"/>
                <w:szCs w:val="18"/>
              </w:rPr>
            </w:pPr>
            <w:r w:rsidRPr="008B01BB">
              <w:rPr>
                <w:rFonts w:ascii="新細明體" w:hAnsi="新細明體" w:hint="eastAsia"/>
                <w:snapToGrid w:val="0"/>
                <w:kern w:val="0"/>
                <w:sz w:val="18"/>
                <w:szCs w:val="18"/>
              </w:rPr>
              <w:t>總額，是否未逾淨值百分之三十</w:t>
            </w:r>
          </w:p>
          <w:p w14:paraId="1038F814" w14:textId="77777777" w:rsidR="000B5E40" w:rsidRPr="008B01BB" w:rsidRDefault="000B5E40" w:rsidP="00916066">
            <w:pPr>
              <w:spacing w:line="240" w:lineRule="exact"/>
              <w:ind w:left="113" w:right="113"/>
              <w:jc w:val="both"/>
              <w:rPr>
                <w:rFonts w:ascii="新細明體" w:hAnsi="新細明體"/>
                <w:snapToGrid w:val="0"/>
                <w:kern w:val="0"/>
                <w:sz w:val="18"/>
                <w:szCs w:val="18"/>
              </w:rPr>
            </w:pPr>
            <w:r w:rsidRPr="008B01BB">
              <w:rPr>
                <w:rFonts w:ascii="新細明體" w:hAnsi="新細明體" w:hint="eastAsia"/>
                <w:snapToGrid w:val="0"/>
                <w:kern w:val="0"/>
                <w:sz w:val="18"/>
                <w:szCs w:val="18"/>
              </w:rPr>
              <w:t>賣回交易餘額，減除外國債券附買回交易餘額後之</w:t>
            </w:r>
          </w:p>
          <w:p w14:paraId="7491CBB7" w14:textId="77777777" w:rsidR="000B5E40" w:rsidRPr="008B01BB" w:rsidRDefault="000B5E40" w:rsidP="00DF0BC0">
            <w:pPr>
              <w:spacing w:line="240" w:lineRule="exact"/>
              <w:ind w:left="113" w:right="113"/>
              <w:jc w:val="both"/>
              <w:rPr>
                <w:rFonts w:ascii="新細明體" w:hAnsi="新細明體"/>
                <w:snapToGrid w:val="0"/>
                <w:kern w:val="0"/>
                <w:sz w:val="18"/>
                <w:szCs w:val="18"/>
              </w:rPr>
            </w:pPr>
            <w:r w:rsidRPr="008B01BB">
              <w:rPr>
                <w:rFonts w:ascii="新細明體" w:hAnsi="新細明體" w:hint="eastAsia"/>
                <w:snapToGrid w:val="0"/>
                <w:kern w:val="0"/>
                <w:sz w:val="18"/>
                <w:szCs w:val="18"/>
              </w:rPr>
              <w:t>持有外國有價證券部位之總額於加計外國債券附</w:t>
            </w:r>
          </w:p>
        </w:tc>
        <w:tc>
          <w:tcPr>
            <w:tcW w:w="851" w:type="dxa"/>
            <w:textDirection w:val="tbRlV"/>
            <w:vAlign w:val="center"/>
          </w:tcPr>
          <w:p w14:paraId="15C2DB15" w14:textId="114AF70D" w:rsidR="000B5E40" w:rsidRPr="002C5BBF" w:rsidRDefault="00E516BA"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等級以上者</w:t>
            </w:r>
            <w:r w:rsidRPr="002C5BBF">
              <w:rPr>
                <w:rFonts w:ascii="標楷體" w:eastAsia="標楷體" w:hAnsi="標楷體" w:hint="eastAsia"/>
                <w:snapToGrid w:val="0"/>
                <w:kern w:val="0"/>
                <w:sz w:val="18"/>
                <w:szCs w:val="18"/>
              </w:rPr>
              <w:t>，</w:t>
            </w:r>
            <w:r w:rsidRPr="002C5BBF">
              <w:rPr>
                <w:rFonts w:ascii="新細明體" w:hAnsi="新細明體" w:hint="eastAsia"/>
                <w:snapToGrid w:val="0"/>
                <w:kern w:val="0"/>
                <w:sz w:val="18"/>
                <w:szCs w:val="18"/>
              </w:rPr>
              <w:t>其總</w:t>
            </w:r>
            <w:r w:rsidR="000B5E40" w:rsidRPr="002C5BBF">
              <w:rPr>
                <w:rFonts w:ascii="新細明體" w:hAnsi="新細明體" w:hint="eastAsia"/>
                <w:snapToGrid w:val="0"/>
                <w:kern w:val="0"/>
                <w:sz w:val="18"/>
                <w:szCs w:val="18"/>
              </w:rPr>
              <w:t>額</w:t>
            </w:r>
            <w:r w:rsidRPr="002C5BBF">
              <w:rPr>
                <w:rFonts w:ascii="新細明體" w:hAnsi="新細明體" w:hint="eastAsia"/>
                <w:snapToGrid w:val="0"/>
                <w:kern w:val="0"/>
                <w:sz w:val="18"/>
                <w:szCs w:val="18"/>
              </w:rPr>
              <w:t>是否未逾淨值百分之十</w:t>
            </w:r>
          </w:p>
          <w:p w14:paraId="6F5B701F" w14:textId="6B9A3DA1"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評等或信用評等未符合</w:t>
            </w:r>
            <w:r w:rsidR="00E516BA" w:rsidRPr="002C5BBF">
              <w:rPr>
                <w:rFonts w:ascii="新細明體" w:hAnsi="新細明體" w:hint="eastAsia"/>
                <w:snapToGrid w:val="0"/>
                <w:kern w:val="0"/>
                <w:sz w:val="18"/>
                <w:szCs w:val="18"/>
              </w:rPr>
              <w:t>所列信用評等機構評定達一定</w:t>
            </w:r>
          </w:p>
          <w:p w14:paraId="21E937A5" w14:textId="77777777"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自行買賣外國有價證券（含附條件交易）如無信用</w:t>
            </w:r>
          </w:p>
        </w:tc>
        <w:tc>
          <w:tcPr>
            <w:tcW w:w="1559" w:type="dxa"/>
            <w:textDirection w:val="tbRlV"/>
            <w:vAlign w:val="center"/>
          </w:tcPr>
          <w:p w14:paraId="0B087B74" w14:textId="0C5BC2F6" w:rsidR="000B5E40" w:rsidRPr="002C5BBF" w:rsidDel="007147B0" w:rsidRDefault="00F4739A" w:rsidP="003D6178">
            <w:pPr>
              <w:spacing w:line="240" w:lineRule="exact"/>
              <w:ind w:left="113" w:right="113"/>
              <w:jc w:val="both"/>
              <w:rPr>
                <w:del w:id="0" w:author="陳湘琴chenjuli" w:date="2017-02-21T14:06:00Z"/>
                <w:rFonts w:ascii="新細明體" w:hAnsi="新細明體"/>
                <w:snapToGrid w:val="0"/>
                <w:kern w:val="0"/>
                <w:sz w:val="18"/>
                <w:szCs w:val="18"/>
              </w:rPr>
            </w:pPr>
            <w:r>
              <w:rPr>
                <w:rFonts w:ascii="新細明體" w:hAnsi="新細明體" w:hint="eastAsia"/>
                <w:snapToGrid w:val="0"/>
                <w:kern w:val="0"/>
                <w:sz w:val="18"/>
                <w:szCs w:val="18"/>
              </w:rPr>
              <w:t>所</w:t>
            </w:r>
            <w:r w:rsidR="008B01BB" w:rsidRPr="002C5BBF">
              <w:rPr>
                <w:rFonts w:ascii="新細明體" w:hAnsi="新細明體" w:hint="eastAsia"/>
                <w:snapToGrid w:val="0"/>
                <w:kern w:val="0"/>
                <w:sz w:val="18"/>
                <w:szCs w:val="18"/>
              </w:rPr>
              <w:t>經營衍生性金融商品交易業務者</w:t>
            </w:r>
            <w:r w:rsidR="008B01BB" w:rsidRPr="002C5BBF">
              <w:rPr>
                <w:rFonts w:ascii="標楷體" w:eastAsia="標楷體" w:hAnsi="標楷體" w:hint="eastAsia"/>
                <w:snapToGrid w:val="0"/>
                <w:kern w:val="0"/>
                <w:sz w:val="18"/>
                <w:szCs w:val="18"/>
              </w:rPr>
              <w:t>，</w:t>
            </w:r>
            <w:r w:rsidR="008B01BB" w:rsidRPr="002C5BBF">
              <w:rPr>
                <w:rFonts w:ascii="新細明體" w:hAnsi="新細明體" w:hint="eastAsia"/>
                <w:snapToGrid w:val="0"/>
                <w:kern w:val="0"/>
                <w:sz w:val="18"/>
                <w:szCs w:val="18"/>
              </w:rPr>
              <w:t>不在此限</w:t>
            </w:r>
            <w:r w:rsidR="00E9242A" w:rsidRPr="002C5BBF">
              <w:rPr>
                <w:rFonts w:ascii="新細明體" w:hAnsi="新細明體" w:hint="eastAsia"/>
                <w:snapToGrid w:val="0"/>
                <w:kern w:val="0"/>
                <w:sz w:val="18"/>
                <w:szCs w:val="18"/>
              </w:rPr>
              <w:t>)</w:t>
            </w:r>
          </w:p>
          <w:p w14:paraId="5F74C1B1" w14:textId="3FA0B6DC" w:rsidR="000B5E40" w:rsidRPr="002C5BBF" w:rsidRDefault="000B5E40" w:rsidP="003D6178">
            <w:pPr>
              <w:spacing w:line="240" w:lineRule="exact"/>
              <w:ind w:left="113" w:right="113"/>
              <w:jc w:val="both"/>
              <w:rPr>
                <w:ins w:id="1" w:author="陳湘琴chenjuli" w:date="2017-02-21T14:06:00Z"/>
                <w:rFonts w:asciiTheme="minorEastAsia" w:eastAsiaTheme="minorEastAsia" w:hAnsiTheme="minorEastAsia"/>
                <w:snapToGrid w:val="0"/>
                <w:kern w:val="0"/>
                <w:sz w:val="18"/>
                <w:szCs w:val="18"/>
              </w:rPr>
            </w:pPr>
            <w:r w:rsidRPr="002C5BBF">
              <w:rPr>
                <w:rFonts w:ascii="新細明體" w:hAnsi="新細明體" w:hint="eastAsia"/>
                <w:snapToGrid w:val="0"/>
                <w:kern w:val="0"/>
                <w:sz w:val="18"/>
                <w:szCs w:val="18"/>
              </w:rPr>
              <w:t>值</w:t>
            </w:r>
            <w:r w:rsidR="008B01BB" w:rsidRPr="002C5BBF">
              <w:rPr>
                <w:rFonts w:ascii="標楷體" w:eastAsia="標楷體" w:hAnsi="標楷體" w:hint="eastAsia"/>
                <w:snapToGrid w:val="0"/>
                <w:kern w:val="0"/>
                <w:sz w:val="18"/>
                <w:szCs w:val="18"/>
              </w:rPr>
              <w:t>。</w:t>
            </w:r>
            <w:r w:rsidR="00E516BA" w:rsidRPr="002C5BBF">
              <w:rPr>
                <w:rFonts w:ascii="標楷體" w:eastAsia="標楷體" w:hAnsi="標楷體" w:hint="eastAsia"/>
                <w:snapToGrid w:val="0"/>
                <w:kern w:val="0"/>
                <w:sz w:val="18"/>
                <w:szCs w:val="18"/>
              </w:rPr>
              <w:t>(</w:t>
            </w:r>
            <w:r w:rsidR="008B01BB" w:rsidRPr="002C5BBF">
              <w:rPr>
                <w:rFonts w:ascii="新細明體" w:hAnsi="新細明體" w:hint="eastAsia"/>
                <w:snapToGrid w:val="0"/>
                <w:kern w:val="0"/>
                <w:sz w:val="18"/>
                <w:szCs w:val="18"/>
              </w:rPr>
              <w:t>但因發行認購(售)權證</w:t>
            </w:r>
            <w:r w:rsidR="00E516BA" w:rsidRPr="002C5BBF">
              <w:rPr>
                <w:rFonts w:ascii="標楷體" w:eastAsia="標楷體" w:hAnsi="標楷體" w:hint="eastAsia"/>
                <w:snapToGrid w:val="0"/>
                <w:kern w:val="0"/>
                <w:sz w:val="18"/>
                <w:szCs w:val="18"/>
              </w:rPr>
              <w:t>、</w:t>
            </w:r>
            <w:r w:rsidR="00E516BA" w:rsidRPr="002C5BBF">
              <w:rPr>
                <w:rFonts w:asciiTheme="minorEastAsia" w:eastAsiaTheme="minorEastAsia" w:hAnsiTheme="minorEastAsia" w:cs="MicrosoftJhengHeiRegular" w:hint="eastAsia"/>
                <w:kern w:val="0"/>
                <w:sz w:val="18"/>
                <w:szCs w:val="18"/>
              </w:rPr>
              <w:t>指數投資證券</w:t>
            </w:r>
            <w:r w:rsidR="008B01BB" w:rsidRPr="002C5BBF">
              <w:rPr>
                <w:rFonts w:asciiTheme="minorEastAsia" w:eastAsiaTheme="minorEastAsia" w:hAnsiTheme="minorEastAsia" w:hint="eastAsia"/>
                <w:snapToGrid w:val="0"/>
                <w:kern w:val="0"/>
                <w:sz w:val="18"/>
                <w:szCs w:val="18"/>
              </w:rPr>
              <w:t>及於</w:t>
            </w:r>
            <w:r w:rsidR="00F4739A" w:rsidRPr="002C5BBF">
              <w:rPr>
                <w:rFonts w:asciiTheme="minorEastAsia" w:eastAsiaTheme="minorEastAsia" w:hAnsiTheme="minorEastAsia" w:hint="eastAsia"/>
                <w:snapToGrid w:val="0"/>
                <w:kern w:val="0"/>
                <w:sz w:val="18"/>
                <w:szCs w:val="18"/>
              </w:rPr>
              <w:t>營業</w:t>
            </w:r>
            <w:r w:rsidR="00F4739A" w:rsidRPr="002C5BBF">
              <w:rPr>
                <w:rFonts w:ascii="新細明體" w:hAnsi="新細明體" w:hint="eastAsia"/>
                <w:snapToGrid w:val="0"/>
                <w:kern w:val="0"/>
                <w:sz w:val="18"/>
                <w:szCs w:val="18"/>
              </w:rPr>
              <w:t>處</w:t>
            </w:r>
          </w:p>
          <w:p w14:paraId="1D37981E" w14:textId="725922DF" w:rsidR="000B5E40" w:rsidRPr="002C5BBF" w:rsidRDefault="000B5E40"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是否未逾所持有或辦理相關業務之相</w:t>
            </w:r>
            <w:r w:rsidR="00E9242A" w:rsidRPr="002C5BBF">
              <w:rPr>
                <w:rFonts w:ascii="新細明體" w:hAnsi="新細明體" w:hint="eastAsia"/>
                <w:snapToGrid w:val="0"/>
                <w:kern w:val="0"/>
                <w:sz w:val="18"/>
                <w:szCs w:val="18"/>
              </w:rPr>
              <w:t>對應有價證</w:t>
            </w:r>
            <w:r w:rsidR="00F4739A" w:rsidRPr="002C5BBF">
              <w:rPr>
                <w:rFonts w:ascii="新細明體" w:hAnsi="新細明體" w:hint="eastAsia"/>
                <w:snapToGrid w:val="0"/>
                <w:kern w:val="0"/>
                <w:sz w:val="18"/>
                <w:szCs w:val="18"/>
              </w:rPr>
              <w:t>券總市</w:t>
            </w:r>
          </w:p>
          <w:p w14:paraId="78D37131" w14:textId="268E4622" w:rsidR="000B5E40" w:rsidRPr="002C5BBF" w:rsidRDefault="00F4739A" w:rsidP="003D6178">
            <w:pPr>
              <w:spacing w:line="240" w:lineRule="exact"/>
              <w:ind w:left="113" w:right="113"/>
              <w:jc w:val="both"/>
              <w:rPr>
                <w:rFonts w:ascii="新細明體" w:hAnsi="新細明體"/>
                <w:snapToGrid w:val="0"/>
                <w:kern w:val="0"/>
                <w:sz w:val="18"/>
                <w:szCs w:val="18"/>
              </w:rPr>
            </w:pPr>
            <w:r>
              <w:rPr>
                <w:rFonts w:ascii="新細明體" w:hAnsi="新細明體" w:hint="eastAsia"/>
                <w:snapToGrid w:val="0"/>
                <w:kern w:val="0"/>
                <w:sz w:val="18"/>
                <w:szCs w:val="18"/>
              </w:rPr>
              <w:t>約</w:t>
            </w:r>
            <w:r w:rsidR="000B5E40" w:rsidRPr="002C5BBF">
              <w:rPr>
                <w:rFonts w:ascii="新細明體" w:hAnsi="新細明體" w:hint="eastAsia"/>
                <w:snapToGrid w:val="0"/>
                <w:kern w:val="0"/>
                <w:sz w:val="18"/>
                <w:szCs w:val="18"/>
              </w:rPr>
              <w:t>、期貨選擇權契約及店頭交易契約之總</w:t>
            </w:r>
            <w:r w:rsidR="00E9242A" w:rsidRPr="002C5BBF">
              <w:rPr>
                <w:rFonts w:ascii="新細明體" w:hAnsi="新細明體" w:hint="eastAsia"/>
                <w:snapToGrid w:val="0"/>
                <w:kern w:val="0"/>
                <w:sz w:val="18"/>
                <w:szCs w:val="18"/>
              </w:rPr>
              <w:t>(名目)</w:t>
            </w:r>
            <w:r w:rsidRPr="002C5BBF">
              <w:rPr>
                <w:rFonts w:ascii="新細明體" w:hAnsi="新細明體" w:hint="eastAsia"/>
                <w:snapToGrid w:val="0"/>
                <w:kern w:val="0"/>
                <w:sz w:val="18"/>
                <w:szCs w:val="18"/>
              </w:rPr>
              <w:t xml:space="preserve"> 價值，</w:t>
            </w:r>
          </w:p>
          <w:p w14:paraId="62AA4AC7" w14:textId="0D8180ED" w:rsidR="000B5E40" w:rsidRPr="002C5BBF" w:rsidRDefault="000B5E40"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未沖銷空頭或多頭部位之期貨契約總市值加計</w:t>
            </w:r>
            <w:r w:rsidR="00F4739A" w:rsidRPr="002C5BBF">
              <w:rPr>
                <w:rFonts w:ascii="新細明體" w:hAnsi="新細明體" w:hint="eastAsia"/>
                <w:snapToGrid w:val="0"/>
                <w:kern w:val="0"/>
                <w:sz w:val="18"/>
                <w:szCs w:val="18"/>
              </w:rPr>
              <w:t>選擇權契</w:t>
            </w:r>
          </w:p>
          <w:p w14:paraId="3A039660" w14:textId="3A56260D" w:rsidR="000B5E40" w:rsidRPr="002C5BBF" w:rsidRDefault="000B5E40"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從事避險目的衍生性金融商品交易，其每營業日持</w:t>
            </w:r>
            <w:r w:rsidR="00E516BA" w:rsidRPr="002C5BBF">
              <w:rPr>
                <w:rFonts w:ascii="新細明體" w:hAnsi="新細明體" w:hint="eastAsia"/>
                <w:snapToGrid w:val="0"/>
                <w:kern w:val="0"/>
                <w:sz w:val="18"/>
                <w:szCs w:val="18"/>
              </w:rPr>
              <w:t>有</w:t>
            </w:r>
          </w:p>
        </w:tc>
        <w:tc>
          <w:tcPr>
            <w:tcW w:w="1417" w:type="dxa"/>
            <w:textDirection w:val="tbRlV"/>
            <w:vAlign w:val="center"/>
          </w:tcPr>
          <w:p w14:paraId="36ACB1CC" w14:textId="682DCC50" w:rsidR="000B5E40" w:rsidRPr="002C5BBF" w:rsidRDefault="00E9242A"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本淨額之比例是否</w:t>
            </w:r>
            <w:r w:rsidR="000B5E40" w:rsidRPr="002C5BBF">
              <w:rPr>
                <w:rFonts w:ascii="新細明體" w:hAnsi="新細明體" w:hint="eastAsia"/>
                <w:snapToGrid w:val="0"/>
                <w:kern w:val="0"/>
                <w:sz w:val="18"/>
                <w:szCs w:val="18"/>
              </w:rPr>
              <w:t>符合主管機關規定</w:t>
            </w:r>
          </w:p>
          <w:p w14:paraId="1A2DBF8B" w14:textId="45945FD8" w:rsidR="000B5E40" w:rsidRPr="002C5BBF" w:rsidRDefault="00E9242A"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店頭交易契約市場</w:t>
            </w:r>
            <w:r w:rsidR="00DD704C" w:rsidRPr="002C5BBF">
              <w:rPr>
                <w:rFonts w:ascii="新細明體" w:hAnsi="新細明體" w:hint="eastAsia"/>
                <w:snapToGrid w:val="0"/>
                <w:kern w:val="0"/>
                <w:sz w:val="18"/>
                <w:szCs w:val="18"/>
              </w:rPr>
              <w:t>風</w:t>
            </w:r>
            <w:r w:rsidR="0073230E" w:rsidRPr="002C5BBF">
              <w:rPr>
                <w:rFonts w:ascii="新細明體" w:hAnsi="新細明體" w:hint="eastAsia"/>
                <w:snapToGrid w:val="0"/>
                <w:kern w:val="0"/>
                <w:sz w:val="18"/>
                <w:szCs w:val="18"/>
              </w:rPr>
              <w:t>險</w:t>
            </w:r>
            <w:r w:rsidR="00DD704C" w:rsidRPr="002C5BBF">
              <w:rPr>
                <w:rFonts w:ascii="新細明體" w:hAnsi="新細明體" w:hint="eastAsia"/>
                <w:snapToGrid w:val="0"/>
                <w:kern w:val="0"/>
                <w:sz w:val="18"/>
                <w:szCs w:val="18"/>
              </w:rPr>
              <w:t>約當金額</w:t>
            </w:r>
            <w:r w:rsidR="000B5E40" w:rsidRPr="002C5BBF">
              <w:rPr>
                <w:rFonts w:ascii="新細明體" w:hAnsi="新細明體" w:hint="eastAsia"/>
                <w:snapToGrid w:val="0"/>
                <w:kern w:val="0"/>
                <w:sz w:val="18"/>
                <w:szCs w:val="18"/>
              </w:rPr>
              <w:t>之合計數</w:t>
            </w:r>
            <w:r w:rsidR="0073230E" w:rsidRPr="002C5BBF">
              <w:rPr>
                <w:rFonts w:ascii="新細明體" w:hAnsi="新細明體" w:hint="eastAsia"/>
                <w:snapToGrid w:val="0"/>
                <w:kern w:val="0"/>
                <w:sz w:val="18"/>
                <w:szCs w:val="18"/>
              </w:rPr>
              <w:t>占</w:t>
            </w:r>
            <w:r w:rsidR="00F4739A" w:rsidRPr="002C5BBF">
              <w:rPr>
                <w:rFonts w:ascii="新細明體" w:hAnsi="新細明體" w:hint="eastAsia"/>
                <w:snapToGrid w:val="0"/>
                <w:kern w:val="0"/>
                <w:sz w:val="18"/>
                <w:szCs w:val="18"/>
              </w:rPr>
              <w:t>合格自有</w:t>
            </w:r>
            <w:r w:rsidR="00F4739A">
              <w:rPr>
                <w:rFonts w:ascii="新細明體" w:hAnsi="新細明體" w:hint="eastAsia"/>
                <w:snapToGrid w:val="0"/>
                <w:kern w:val="0"/>
                <w:sz w:val="18"/>
                <w:szCs w:val="18"/>
              </w:rPr>
              <w:t>資</w:t>
            </w:r>
          </w:p>
          <w:p w14:paraId="681A0891" w14:textId="3092D96E" w:rsidR="000B5E40" w:rsidRPr="002C5BBF" w:rsidRDefault="00E9242A"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空頭及多頭部位</w:t>
            </w:r>
            <w:r w:rsidRPr="002C5BBF">
              <w:rPr>
                <w:rFonts w:ascii="新細明體" w:hAnsi="新細明體"/>
                <w:snapToGrid w:val="0"/>
                <w:kern w:val="0"/>
                <w:sz w:val="18"/>
                <w:szCs w:val="18"/>
              </w:rPr>
              <w:t>）</w:t>
            </w:r>
            <w:r w:rsidR="000B5E40" w:rsidRPr="002C5BBF">
              <w:rPr>
                <w:rFonts w:ascii="新細明體" w:hAnsi="新細明體" w:hint="eastAsia"/>
                <w:snapToGrid w:val="0"/>
                <w:kern w:val="0"/>
                <w:sz w:val="18"/>
                <w:szCs w:val="18"/>
              </w:rPr>
              <w:t>加計選擇權契約、期貨選擇權</w:t>
            </w:r>
            <w:r w:rsidR="00F4739A" w:rsidRPr="002C5BBF">
              <w:rPr>
                <w:rFonts w:ascii="新細明體" w:hAnsi="新細明體" w:hint="eastAsia"/>
                <w:snapToGrid w:val="0"/>
                <w:kern w:val="0"/>
                <w:sz w:val="18"/>
                <w:szCs w:val="18"/>
              </w:rPr>
              <w:t>契約</w:t>
            </w:r>
            <w:r w:rsidR="00F4739A">
              <w:rPr>
                <w:rFonts w:ascii="新細明體" w:hAnsi="新細明體" w:hint="eastAsia"/>
                <w:snapToGrid w:val="0"/>
                <w:kern w:val="0"/>
                <w:sz w:val="18"/>
                <w:szCs w:val="18"/>
              </w:rPr>
              <w:t>及</w:t>
            </w:r>
          </w:p>
          <w:p w14:paraId="49C7910B" w14:textId="68BACC9F" w:rsidR="000B5E40" w:rsidRPr="002C5BBF" w:rsidRDefault="00E9242A" w:rsidP="003D6178">
            <w:pPr>
              <w:spacing w:line="240" w:lineRule="exact"/>
              <w:ind w:left="113" w:right="113"/>
              <w:jc w:val="both"/>
              <w:rPr>
                <w:rFonts w:ascii="新細明體" w:hAnsi="新細明體"/>
                <w:snapToGrid w:val="0"/>
                <w:kern w:val="0"/>
                <w:sz w:val="18"/>
                <w:szCs w:val="18"/>
              </w:rPr>
            </w:pPr>
            <w:r w:rsidRPr="002C5BBF">
              <w:rPr>
                <w:rFonts w:asciiTheme="minorEastAsia" w:eastAsiaTheme="minorEastAsia" w:hAnsiTheme="minorEastAsia" w:cs="MicrosoftJhengHeiRegular" w:hint="eastAsia"/>
                <w:kern w:val="0"/>
                <w:sz w:val="18"/>
                <w:szCs w:val="18"/>
              </w:rPr>
              <w:t>超額避險交易</w:t>
            </w:r>
            <w:r w:rsidR="00DD1BBF" w:rsidRPr="002C5BBF">
              <w:rPr>
                <w:rFonts w:ascii="標楷體" w:eastAsia="標楷體" w:hAnsi="標楷體" w:cs="MicrosoftJhengHeiRegular" w:hint="eastAsia"/>
                <w:kern w:val="0"/>
                <w:sz w:val="18"/>
                <w:szCs w:val="18"/>
              </w:rPr>
              <w:t>，</w:t>
            </w:r>
            <w:r w:rsidR="000B5E40" w:rsidRPr="002C5BBF">
              <w:rPr>
                <w:rFonts w:ascii="新細明體" w:hAnsi="新細明體" w:hint="eastAsia"/>
                <w:snapToGrid w:val="0"/>
                <w:kern w:val="0"/>
                <w:sz w:val="18"/>
                <w:szCs w:val="18"/>
              </w:rPr>
              <w:t>每營業日持有期貨契約未沖銷部位</w:t>
            </w:r>
            <w:r w:rsidR="00F4739A" w:rsidRPr="002C5BBF">
              <w:rPr>
                <w:rFonts w:ascii="新細明體" w:hAnsi="新細明體" w:hint="eastAsia"/>
                <w:snapToGrid w:val="0"/>
                <w:kern w:val="0"/>
                <w:sz w:val="18"/>
                <w:szCs w:val="18"/>
              </w:rPr>
              <w:t>（含</w:t>
            </w:r>
          </w:p>
          <w:p w14:paraId="08144232" w14:textId="4F7EE76C" w:rsidR="000B5E40" w:rsidRPr="002C5BBF" w:rsidRDefault="000B5E40" w:rsidP="003D6178">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從事非避險目的國內及國外衍生性金融商品交易，</w:t>
            </w:r>
            <w:r w:rsidR="00F4739A">
              <w:rPr>
                <w:rFonts w:ascii="新細明體" w:hAnsi="新細明體" w:hint="eastAsia"/>
                <w:snapToGrid w:val="0"/>
                <w:kern w:val="0"/>
                <w:sz w:val="18"/>
                <w:szCs w:val="18"/>
              </w:rPr>
              <w:t>加計</w:t>
            </w:r>
            <w:r w:rsidR="00E9242A" w:rsidRPr="002C5BBF">
              <w:rPr>
                <w:rFonts w:ascii="新細明體" w:hAnsi="新細明體"/>
                <w:snapToGrid w:val="0"/>
                <w:kern w:val="0"/>
                <w:sz w:val="18"/>
                <w:szCs w:val="18"/>
              </w:rPr>
              <w:t xml:space="preserve"> </w:t>
            </w:r>
          </w:p>
        </w:tc>
        <w:tc>
          <w:tcPr>
            <w:tcW w:w="1701" w:type="dxa"/>
            <w:textDirection w:val="tbRlV"/>
            <w:vAlign w:val="center"/>
          </w:tcPr>
          <w:p w14:paraId="78D3A1BC" w14:textId="4C30FDE1" w:rsidR="000B5E40" w:rsidRPr="004613F5"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二百</w:t>
            </w:r>
            <w:r w:rsidR="002D14D7" w:rsidRPr="002C5BBF">
              <w:rPr>
                <w:rFonts w:ascii="新細明體" w:hAnsi="新細明體" w:hint="eastAsia"/>
                <w:snapToGrid w:val="0"/>
                <w:kern w:val="0"/>
                <w:sz w:val="18"/>
                <w:szCs w:val="18"/>
              </w:rPr>
              <w:t>(</w:t>
            </w:r>
            <w:r w:rsidRPr="002C5BBF">
              <w:rPr>
                <w:rFonts w:ascii="新細明體" w:hAnsi="新細明體" w:hint="eastAsia"/>
                <w:snapToGrid w:val="0"/>
                <w:kern w:val="0"/>
                <w:sz w:val="18"/>
                <w:szCs w:val="18"/>
              </w:rPr>
              <w:t>但因國內期貨或選擇權契約</w:t>
            </w:r>
            <w:r w:rsidR="00F4739A" w:rsidRPr="002C5BBF">
              <w:rPr>
                <w:rFonts w:ascii="新細明體" w:hAnsi="新細明體" w:hint="eastAsia"/>
                <w:snapToGrid w:val="0"/>
                <w:kern w:val="0"/>
                <w:sz w:val="18"/>
                <w:szCs w:val="18"/>
              </w:rPr>
              <w:t>到期結算者，</w:t>
            </w:r>
            <w:r w:rsidR="004613F5" w:rsidRPr="002C5BBF">
              <w:rPr>
                <w:rFonts w:ascii="新細明體" w:hAnsi="新細明體" w:hint="eastAsia"/>
                <w:snapToGrid w:val="0"/>
                <w:kern w:val="0"/>
                <w:sz w:val="18"/>
                <w:szCs w:val="18"/>
              </w:rPr>
              <w:t>不在此限)</w:t>
            </w:r>
          </w:p>
          <w:p w14:paraId="69F09591" w14:textId="54F9F23D"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內期貨市場部分是否高於國外期貨市</w:t>
            </w:r>
            <w:r w:rsidR="002D14D7" w:rsidRPr="002C5BBF">
              <w:rPr>
                <w:rFonts w:ascii="新細明體" w:hAnsi="新細明體" w:hint="eastAsia"/>
                <w:snapToGrid w:val="0"/>
                <w:kern w:val="0"/>
                <w:sz w:val="18"/>
                <w:szCs w:val="18"/>
              </w:rPr>
              <w:t>場</w:t>
            </w:r>
            <w:r w:rsidR="00F4739A" w:rsidRPr="002C5BBF">
              <w:rPr>
                <w:rFonts w:ascii="新細明體" w:hAnsi="新細明體" w:hint="eastAsia"/>
                <w:snapToGrid w:val="0"/>
                <w:kern w:val="0"/>
                <w:sz w:val="18"/>
                <w:szCs w:val="18"/>
              </w:rPr>
              <w:t>部分之百分之</w:t>
            </w:r>
          </w:p>
          <w:p w14:paraId="4DA6C7A6" w14:textId="0AC8CB39"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權契約、期貨選擇權契約總（名目）價值</w:t>
            </w:r>
            <w:r w:rsidR="002D14D7" w:rsidRPr="002C5BBF">
              <w:rPr>
                <w:rFonts w:ascii="新細明體" w:hAnsi="新細明體" w:hint="eastAsia"/>
                <w:snapToGrid w:val="0"/>
                <w:kern w:val="0"/>
                <w:sz w:val="18"/>
                <w:szCs w:val="18"/>
              </w:rPr>
              <w:t>之</w:t>
            </w:r>
            <w:r w:rsidR="00F4739A" w:rsidRPr="002C5BBF">
              <w:rPr>
                <w:rFonts w:ascii="新細明體" w:hAnsi="新細明體" w:hint="eastAsia"/>
                <w:snapToGrid w:val="0"/>
                <w:kern w:val="0"/>
                <w:sz w:val="18"/>
                <w:szCs w:val="18"/>
              </w:rPr>
              <w:t>合計數，</w:t>
            </w:r>
            <w:r w:rsidR="00F4739A">
              <w:rPr>
                <w:rFonts w:ascii="新細明體" w:hAnsi="新細明體" w:hint="eastAsia"/>
                <w:snapToGrid w:val="0"/>
                <w:kern w:val="0"/>
                <w:sz w:val="18"/>
                <w:szCs w:val="18"/>
              </w:rPr>
              <w:t>國</w:t>
            </w:r>
          </w:p>
          <w:p w14:paraId="1245FB55" w14:textId="35DF883D"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之期貨或選擇權交易，其未沖銷期貨契約總市</w:t>
            </w:r>
            <w:r w:rsidR="002D14D7" w:rsidRPr="002C5BBF">
              <w:rPr>
                <w:rFonts w:ascii="新細明體" w:hAnsi="新細明體" w:hint="eastAsia"/>
                <w:snapToGrid w:val="0"/>
                <w:kern w:val="0"/>
                <w:sz w:val="18"/>
                <w:szCs w:val="18"/>
              </w:rPr>
              <w:t>值</w:t>
            </w:r>
            <w:r w:rsidR="00F4739A" w:rsidRPr="002C5BBF">
              <w:rPr>
                <w:rFonts w:ascii="新細明體" w:hAnsi="新細明體" w:hint="eastAsia"/>
                <w:snapToGrid w:val="0"/>
                <w:kern w:val="0"/>
                <w:sz w:val="18"/>
                <w:szCs w:val="18"/>
              </w:rPr>
              <w:t>及選擇</w:t>
            </w:r>
          </w:p>
          <w:p w14:paraId="21C79F0F" w14:textId="6E05FC07"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每營業日持有以我國證券、證券組合或股價指數為</w:t>
            </w:r>
            <w:r w:rsidR="00F4739A" w:rsidRPr="002C5BBF">
              <w:rPr>
                <w:rFonts w:ascii="新細明體" w:hAnsi="新細明體" w:hint="eastAsia"/>
                <w:snapToGrid w:val="0"/>
                <w:kern w:val="0"/>
                <w:sz w:val="18"/>
                <w:szCs w:val="18"/>
              </w:rPr>
              <w:t>標的</w:t>
            </w:r>
          </w:p>
        </w:tc>
        <w:tc>
          <w:tcPr>
            <w:tcW w:w="993" w:type="dxa"/>
            <w:textDirection w:val="tbRlV"/>
            <w:vAlign w:val="center"/>
          </w:tcPr>
          <w:p w14:paraId="022DB840" w14:textId="6D497964"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淨值百分之十</w:t>
            </w:r>
          </w:p>
          <w:p w14:paraId="2F0232C3" w14:textId="43A33A79"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商品多頭部位總（名目）價值之合計數，是否</w:t>
            </w:r>
            <w:r w:rsidR="004613F5" w:rsidRPr="002C5BBF">
              <w:rPr>
                <w:rFonts w:ascii="新細明體" w:hAnsi="新細明體" w:hint="eastAsia"/>
                <w:snapToGrid w:val="0"/>
                <w:kern w:val="0"/>
                <w:sz w:val="18"/>
                <w:szCs w:val="18"/>
              </w:rPr>
              <w:t>未逾公司</w:t>
            </w:r>
          </w:p>
          <w:p w14:paraId="02622F93" w14:textId="1AA8AC78"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每營業日持有任一公司之有價證券總額及衍生性</w:t>
            </w:r>
            <w:r w:rsidR="004613F5" w:rsidRPr="002C5BBF">
              <w:rPr>
                <w:rFonts w:ascii="新細明體" w:hAnsi="新細明體" w:hint="eastAsia"/>
                <w:snapToGrid w:val="0"/>
                <w:kern w:val="0"/>
                <w:sz w:val="18"/>
                <w:szCs w:val="18"/>
              </w:rPr>
              <w:t>金融</w:t>
            </w:r>
          </w:p>
        </w:tc>
        <w:tc>
          <w:tcPr>
            <w:tcW w:w="1701" w:type="dxa"/>
            <w:textDirection w:val="tbRlV"/>
            <w:vAlign w:val="center"/>
          </w:tcPr>
          <w:p w14:paraId="45B4EBBE" w14:textId="1A4FE53A" w:rsidR="000B5E40" w:rsidRPr="002C5BBF" w:rsidRDefault="000B5E40" w:rsidP="003027EE">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是否僅出售或結清其持有部位。</w:t>
            </w:r>
          </w:p>
          <w:p w14:paraId="3AAC36B2" w14:textId="0619ADC0" w:rsidR="000B5E40" w:rsidRPr="002C5BBF" w:rsidRDefault="000B5E40" w:rsidP="003027EE">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債務</w:t>
            </w:r>
            <w:r w:rsidR="00C566DF" w:rsidRPr="002C5BBF">
              <w:rPr>
                <w:rFonts w:ascii="新細明體" w:hAnsi="新細明體" w:hint="eastAsia"/>
                <w:snapToGrid w:val="0"/>
                <w:kern w:val="0"/>
                <w:sz w:val="18"/>
                <w:szCs w:val="18"/>
              </w:rPr>
              <w:t>信用評等），嗣後如下降以致未符合最低標準</w:t>
            </w:r>
            <w:r w:rsidR="004613F5" w:rsidRPr="002C5BBF">
              <w:rPr>
                <w:rFonts w:ascii="新細明體" w:hAnsi="新細明體" w:hint="eastAsia"/>
                <w:snapToGrid w:val="0"/>
                <w:kern w:val="0"/>
                <w:sz w:val="18"/>
                <w:szCs w:val="18"/>
              </w:rPr>
              <w:t>者</w:t>
            </w:r>
            <w:r w:rsidR="004613F5" w:rsidRPr="002C5BBF">
              <w:rPr>
                <w:rFonts w:ascii="標楷體" w:eastAsia="標楷體" w:hAnsi="標楷體" w:hint="eastAsia"/>
                <w:snapToGrid w:val="0"/>
                <w:kern w:val="0"/>
                <w:sz w:val="18"/>
                <w:szCs w:val="18"/>
              </w:rPr>
              <w:t>，</w:t>
            </w:r>
          </w:p>
          <w:p w14:paraId="7BBB0C26" w14:textId="2D52343E" w:rsidR="000B5E40" w:rsidRPr="002C5BBF" w:rsidRDefault="000B5E40" w:rsidP="003027EE">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w:t>
            </w:r>
            <w:r w:rsidR="00C566DF" w:rsidRPr="002C5BBF">
              <w:rPr>
                <w:rFonts w:ascii="新細明體" w:hAnsi="新細明體" w:hint="eastAsia"/>
                <w:snapToGrid w:val="0"/>
                <w:kern w:val="0"/>
                <w:sz w:val="18"/>
                <w:szCs w:val="18"/>
              </w:rPr>
              <w:t>店頭市場從事衍生性金融商品交易之交易相對人</w:t>
            </w:r>
            <w:r w:rsidR="004613F5" w:rsidRPr="002C5BBF">
              <w:rPr>
                <w:rFonts w:ascii="新細明體" w:hAnsi="新細明體" w:hint="eastAsia"/>
                <w:snapToGrid w:val="0"/>
                <w:kern w:val="0"/>
                <w:sz w:val="18"/>
                <w:szCs w:val="18"/>
              </w:rPr>
              <w:t>長期</w:t>
            </w:r>
          </w:p>
          <w:p w14:paraId="51CE0491" w14:textId="13834752" w:rsidR="000B5E40" w:rsidRPr="002C5BBF" w:rsidRDefault="004613F5" w:rsidP="003027EE">
            <w:pPr>
              <w:spacing w:line="240" w:lineRule="exact"/>
              <w:ind w:left="113" w:right="113"/>
              <w:jc w:val="both"/>
              <w:rPr>
                <w:rFonts w:ascii="新細明體" w:hAnsi="新細明體"/>
                <w:snapToGrid w:val="0"/>
                <w:kern w:val="0"/>
                <w:sz w:val="18"/>
                <w:szCs w:val="18"/>
              </w:rPr>
            </w:pPr>
            <w:r>
              <w:rPr>
                <w:rFonts w:ascii="新細明體" w:hAnsi="新細明體" w:hint="eastAsia"/>
                <w:snapToGrid w:val="0"/>
                <w:kern w:val="0"/>
                <w:sz w:val="18"/>
                <w:szCs w:val="18"/>
              </w:rPr>
              <w:t>人</w:t>
            </w:r>
            <w:r w:rsidR="000B5E40" w:rsidRPr="002C5BBF">
              <w:rPr>
                <w:rFonts w:ascii="新細明體" w:hAnsi="新細明體" w:hint="eastAsia"/>
                <w:snapToGrid w:val="0"/>
                <w:kern w:val="0"/>
                <w:sz w:val="18"/>
                <w:szCs w:val="18"/>
              </w:rPr>
              <w:t>或保證人之長期債務信用評等及</w:t>
            </w:r>
            <w:r w:rsidR="00C566DF" w:rsidRPr="002C5BBF">
              <w:rPr>
                <w:rFonts w:ascii="新細明體" w:hAnsi="新細明體" w:hint="eastAsia"/>
                <w:snapToGrid w:val="0"/>
                <w:kern w:val="0"/>
                <w:sz w:val="18"/>
                <w:szCs w:val="18"/>
              </w:rPr>
              <w:t>債券之債務發行</w:t>
            </w:r>
            <w:r w:rsidRPr="002C5BBF">
              <w:rPr>
                <w:rFonts w:ascii="新細明體" w:hAnsi="新細明體" w:hint="eastAsia"/>
                <w:snapToGrid w:val="0"/>
                <w:kern w:val="0"/>
                <w:sz w:val="18"/>
                <w:szCs w:val="18"/>
              </w:rPr>
              <w:t>評等</w:t>
            </w:r>
          </w:p>
          <w:p w14:paraId="679204C4" w14:textId="18BED60B" w:rsidR="000B5E40" w:rsidRPr="002C5BBF" w:rsidRDefault="004613F5" w:rsidP="003027EE">
            <w:pPr>
              <w:spacing w:line="240" w:lineRule="exact"/>
              <w:ind w:left="113" w:right="113"/>
              <w:jc w:val="both"/>
              <w:rPr>
                <w:rFonts w:ascii="新細明體" w:hAnsi="新細明體"/>
                <w:snapToGrid w:val="0"/>
                <w:kern w:val="0"/>
                <w:sz w:val="18"/>
                <w:szCs w:val="18"/>
              </w:rPr>
            </w:pPr>
            <w:r>
              <w:rPr>
                <w:rFonts w:ascii="新細明體" w:hAnsi="新細明體" w:hint="eastAsia"/>
                <w:snapToGrid w:val="0"/>
                <w:kern w:val="0"/>
                <w:sz w:val="18"/>
                <w:szCs w:val="18"/>
              </w:rPr>
              <w:t>之</w:t>
            </w:r>
            <w:r w:rsidR="000B5E40" w:rsidRPr="002C5BBF">
              <w:rPr>
                <w:rFonts w:ascii="新細明體" w:hAnsi="新細明體" w:hint="eastAsia"/>
                <w:snapToGrid w:val="0"/>
                <w:kern w:val="0"/>
                <w:sz w:val="18"/>
                <w:szCs w:val="18"/>
              </w:rPr>
              <w:t>持有部位，其相關信用評級（含國家</w:t>
            </w:r>
            <w:r w:rsidR="00C566DF" w:rsidRPr="002C5BBF">
              <w:rPr>
                <w:rFonts w:ascii="新細明體" w:hAnsi="新細明體" w:hint="eastAsia"/>
                <w:snapToGrid w:val="0"/>
                <w:kern w:val="0"/>
                <w:sz w:val="18"/>
                <w:szCs w:val="18"/>
              </w:rPr>
              <w:t>主權評等、</w:t>
            </w:r>
            <w:r w:rsidRPr="002C5BBF">
              <w:rPr>
                <w:rFonts w:ascii="新細明體" w:hAnsi="新細明體" w:hint="eastAsia"/>
                <w:snapToGrid w:val="0"/>
                <w:kern w:val="0"/>
                <w:sz w:val="18"/>
                <w:szCs w:val="18"/>
              </w:rPr>
              <w:t>發行</w:t>
            </w:r>
          </w:p>
          <w:p w14:paraId="67CDC817" w14:textId="46E9F39F" w:rsidR="000B5E40" w:rsidRPr="002C5BBF" w:rsidRDefault="000B5E40" w:rsidP="003027EE">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自行買賣外國有價證券及從事外國衍生性金融商</w:t>
            </w:r>
            <w:r w:rsidR="00C566DF" w:rsidRPr="002C5BBF">
              <w:rPr>
                <w:rFonts w:ascii="新細明體" w:hAnsi="新細明體" w:hint="eastAsia"/>
                <w:snapToGrid w:val="0"/>
                <w:kern w:val="0"/>
                <w:sz w:val="18"/>
                <w:szCs w:val="18"/>
              </w:rPr>
              <w:t>品</w:t>
            </w:r>
            <w:r w:rsidR="004613F5" w:rsidRPr="002C5BBF">
              <w:rPr>
                <w:rFonts w:ascii="新細明體" w:hAnsi="新細明體" w:hint="eastAsia"/>
                <w:snapToGrid w:val="0"/>
                <w:kern w:val="0"/>
                <w:sz w:val="18"/>
                <w:szCs w:val="18"/>
              </w:rPr>
              <w:t>交易</w:t>
            </w:r>
          </w:p>
        </w:tc>
        <w:tc>
          <w:tcPr>
            <w:tcW w:w="1134" w:type="dxa"/>
            <w:textDirection w:val="tbRlV"/>
            <w:vAlign w:val="center"/>
          </w:tcPr>
          <w:p w14:paraId="5C8201FB" w14:textId="2DD4888D"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部位</w:t>
            </w:r>
          </w:p>
          <w:p w14:paraId="57104E03" w14:textId="4D875F2A" w:rsidR="000B5E40" w:rsidRPr="002C5BBF" w:rsidRDefault="00E3237B"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除自有資本適足比率已改善外，是否僅出售或</w:t>
            </w:r>
            <w:r w:rsidR="004613F5" w:rsidRPr="002C5BBF">
              <w:rPr>
                <w:rFonts w:ascii="新細明體" w:hAnsi="新細明體" w:hint="eastAsia"/>
                <w:snapToGrid w:val="0"/>
                <w:kern w:val="0"/>
                <w:sz w:val="18"/>
                <w:szCs w:val="18"/>
              </w:rPr>
              <w:t>結清持有</w:t>
            </w:r>
          </w:p>
          <w:p w14:paraId="278DB5E4" w14:textId="6D10F029"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，如自有資本適足比率連續三個月</w:t>
            </w:r>
            <w:r w:rsidR="00E3237B" w:rsidRPr="002C5BBF">
              <w:rPr>
                <w:rFonts w:ascii="新細明體" w:hAnsi="新細明體" w:hint="eastAsia"/>
                <w:snapToGrid w:val="0"/>
                <w:kern w:val="0"/>
                <w:sz w:val="18"/>
                <w:szCs w:val="18"/>
              </w:rPr>
              <w:t>低於主管機</w:t>
            </w:r>
            <w:r w:rsidR="004613F5" w:rsidRPr="002C5BBF">
              <w:rPr>
                <w:rFonts w:ascii="新細明體" w:hAnsi="新細明體" w:hint="eastAsia"/>
                <w:snapToGrid w:val="0"/>
                <w:kern w:val="0"/>
                <w:sz w:val="18"/>
                <w:szCs w:val="18"/>
              </w:rPr>
              <w:t>關規定，</w:t>
            </w:r>
          </w:p>
          <w:p w14:paraId="0287AC6C" w14:textId="5AD27641" w:rsidR="000B5E40" w:rsidRPr="002C5BBF" w:rsidRDefault="000B5E40" w:rsidP="00916066">
            <w:pPr>
              <w:spacing w:line="240" w:lineRule="exact"/>
              <w:ind w:left="113" w:right="113"/>
              <w:jc w:val="both"/>
              <w:rPr>
                <w:rFonts w:ascii="新細明體" w:hAnsi="新細明體"/>
                <w:snapToGrid w:val="0"/>
                <w:kern w:val="0"/>
                <w:sz w:val="18"/>
                <w:szCs w:val="18"/>
              </w:rPr>
            </w:pPr>
            <w:r w:rsidRPr="002C5BBF">
              <w:rPr>
                <w:rFonts w:ascii="新細明體" w:hAnsi="新細明體" w:hint="eastAsia"/>
                <w:snapToGrid w:val="0"/>
                <w:kern w:val="0"/>
                <w:sz w:val="18"/>
                <w:szCs w:val="18"/>
              </w:rPr>
              <w:t>自行買賣外國有價證券及從事外國衍生</w:t>
            </w:r>
            <w:r w:rsidR="00C566DF" w:rsidRPr="002C5BBF">
              <w:rPr>
                <w:rFonts w:ascii="新細明體" w:hAnsi="新細明體" w:hint="eastAsia"/>
                <w:snapToGrid w:val="0"/>
                <w:kern w:val="0"/>
                <w:sz w:val="18"/>
                <w:szCs w:val="18"/>
              </w:rPr>
              <w:t>性</w:t>
            </w:r>
            <w:r w:rsidR="00E3237B" w:rsidRPr="002C5BBF">
              <w:rPr>
                <w:rFonts w:ascii="新細明體" w:hAnsi="新細明體" w:hint="eastAsia"/>
                <w:snapToGrid w:val="0"/>
                <w:kern w:val="0"/>
                <w:sz w:val="18"/>
                <w:szCs w:val="18"/>
              </w:rPr>
              <w:t>金融</w:t>
            </w:r>
            <w:r w:rsidR="004613F5" w:rsidRPr="002C5BBF">
              <w:rPr>
                <w:rFonts w:ascii="新細明體" w:hAnsi="新細明體" w:hint="eastAsia"/>
                <w:snapToGrid w:val="0"/>
                <w:kern w:val="0"/>
                <w:sz w:val="18"/>
                <w:szCs w:val="18"/>
              </w:rPr>
              <w:t>商品交易</w:t>
            </w:r>
          </w:p>
        </w:tc>
      </w:tr>
      <w:tr w:rsidR="004D1FF0" w14:paraId="732A21B7" w14:textId="77777777" w:rsidTr="009C5083">
        <w:trPr>
          <w:trHeight w:val="476"/>
        </w:trPr>
        <w:tc>
          <w:tcPr>
            <w:tcW w:w="568" w:type="dxa"/>
          </w:tcPr>
          <w:p w14:paraId="364199FC" w14:textId="77777777" w:rsidR="00DF53EC" w:rsidRDefault="00DF53EC" w:rsidP="00916066">
            <w:pPr>
              <w:jc w:val="both"/>
              <w:rPr>
                <w:rFonts w:ascii="新細明體"/>
                <w:snapToGrid w:val="0"/>
                <w:spacing w:val="20"/>
                <w:kern w:val="0"/>
                <w:sz w:val="22"/>
              </w:rPr>
            </w:pPr>
          </w:p>
        </w:tc>
        <w:tc>
          <w:tcPr>
            <w:tcW w:w="992" w:type="dxa"/>
          </w:tcPr>
          <w:p w14:paraId="0DBD329D" w14:textId="77777777" w:rsidR="00DF53EC" w:rsidRDefault="00DF53EC" w:rsidP="00916066">
            <w:pPr>
              <w:jc w:val="both"/>
              <w:rPr>
                <w:rFonts w:ascii="新細明體"/>
                <w:snapToGrid w:val="0"/>
                <w:spacing w:val="20"/>
                <w:kern w:val="0"/>
                <w:sz w:val="22"/>
              </w:rPr>
            </w:pPr>
          </w:p>
        </w:tc>
        <w:tc>
          <w:tcPr>
            <w:tcW w:w="709" w:type="dxa"/>
          </w:tcPr>
          <w:p w14:paraId="2E4B7140" w14:textId="77777777" w:rsidR="00DF53EC" w:rsidRDefault="00DF53EC" w:rsidP="00916066">
            <w:pPr>
              <w:jc w:val="both"/>
              <w:rPr>
                <w:rFonts w:ascii="新細明體"/>
                <w:snapToGrid w:val="0"/>
                <w:spacing w:val="20"/>
                <w:kern w:val="0"/>
                <w:sz w:val="22"/>
              </w:rPr>
            </w:pPr>
          </w:p>
        </w:tc>
        <w:tc>
          <w:tcPr>
            <w:tcW w:w="567" w:type="dxa"/>
          </w:tcPr>
          <w:p w14:paraId="1F447147" w14:textId="77777777" w:rsidR="00DF53EC" w:rsidRDefault="00DF53EC" w:rsidP="00916066">
            <w:pPr>
              <w:jc w:val="both"/>
              <w:rPr>
                <w:rFonts w:ascii="新細明體"/>
                <w:snapToGrid w:val="0"/>
                <w:spacing w:val="20"/>
                <w:kern w:val="0"/>
                <w:sz w:val="22"/>
              </w:rPr>
            </w:pPr>
          </w:p>
        </w:tc>
        <w:tc>
          <w:tcPr>
            <w:tcW w:w="709" w:type="dxa"/>
          </w:tcPr>
          <w:p w14:paraId="1FBA8025" w14:textId="77777777" w:rsidR="00DF53EC" w:rsidRDefault="00DF53EC" w:rsidP="00916066">
            <w:pPr>
              <w:jc w:val="both"/>
              <w:rPr>
                <w:rFonts w:ascii="新細明體"/>
                <w:snapToGrid w:val="0"/>
                <w:spacing w:val="20"/>
                <w:kern w:val="0"/>
                <w:sz w:val="22"/>
              </w:rPr>
            </w:pPr>
          </w:p>
        </w:tc>
        <w:tc>
          <w:tcPr>
            <w:tcW w:w="850" w:type="dxa"/>
          </w:tcPr>
          <w:p w14:paraId="50D2CCA1" w14:textId="77777777" w:rsidR="00DF53EC" w:rsidRDefault="00DF53EC" w:rsidP="00916066">
            <w:pPr>
              <w:jc w:val="both"/>
              <w:rPr>
                <w:rFonts w:ascii="新細明體"/>
                <w:snapToGrid w:val="0"/>
                <w:spacing w:val="20"/>
                <w:kern w:val="0"/>
                <w:sz w:val="22"/>
              </w:rPr>
            </w:pPr>
          </w:p>
        </w:tc>
        <w:tc>
          <w:tcPr>
            <w:tcW w:w="1418" w:type="dxa"/>
          </w:tcPr>
          <w:p w14:paraId="42011760" w14:textId="77777777" w:rsidR="00DF53EC" w:rsidRDefault="00DF53EC" w:rsidP="00916066">
            <w:pPr>
              <w:jc w:val="both"/>
              <w:rPr>
                <w:rFonts w:ascii="新細明體"/>
                <w:snapToGrid w:val="0"/>
                <w:spacing w:val="20"/>
                <w:kern w:val="0"/>
                <w:sz w:val="22"/>
              </w:rPr>
            </w:pPr>
          </w:p>
        </w:tc>
        <w:tc>
          <w:tcPr>
            <w:tcW w:w="850" w:type="dxa"/>
          </w:tcPr>
          <w:p w14:paraId="3EEAA461" w14:textId="77777777" w:rsidR="00DF53EC" w:rsidRDefault="00DF53EC" w:rsidP="00916066">
            <w:pPr>
              <w:jc w:val="both"/>
              <w:rPr>
                <w:rFonts w:ascii="新細明體"/>
                <w:snapToGrid w:val="0"/>
                <w:spacing w:val="20"/>
                <w:kern w:val="0"/>
                <w:sz w:val="22"/>
              </w:rPr>
            </w:pPr>
          </w:p>
        </w:tc>
        <w:tc>
          <w:tcPr>
            <w:tcW w:w="851" w:type="dxa"/>
          </w:tcPr>
          <w:p w14:paraId="4AB0E34C" w14:textId="77777777" w:rsidR="00DF53EC" w:rsidRDefault="00DF53EC" w:rsidP="00916066">
            <w:pPr>
              <w:jc w:val="both"/>
              <w:rPr>
                <w:rFonts w:ascii="新細明體"/>
                <w:snapToGrid w:val="0"/>
                <w:spacing w:val="20"/>
                <w:kern w:val="0"/>
                <w:sz w:val="22"/>
              </w:rPr>
            </w:pPr>
          </w:p>
        </w:tc>
        <w:tc>
          <w:tcPr>
            <w:tcW w:w="1559" w:type="dxa"/>
          </w:tcPr>
          <w:p w14:paraId="7F0CAE13" w14:textId="77777777" w:rsidR="00DF53EC" w:rsidRDefault="00DF53EC" w:rsidP="00916066">
            <w:pPr>
              <w:jc w:val="both"/>
              <w:rPr>
                <w:rFonts w:ascii="新細明體"/>
                <w:snapToGrid w:val="0"/>
                <w:spacing w:val="20"/>
                <w:kern w:val="0"/>
                <w:sz w:val="22"/>
              </w:rPr>
            </w:pPr>
          </w:p>
        </w:tc>
        <w:tc>
          <w:tcPr>
            <w:tcW w:w="1417" w:type="dxa"/>
          </w:tcPr>
          <w:p w14:paraId="247F1C72" w14:textId="77777777" w:rsidR="00DF53EC" w:rsidRDefault="00DF53EC" w:rsidP="00916066">
            <w:pPr>
              <w:jc w:val="both"/>
              <w:rPr>
                <w:rFonts w:ascii="新細明體"/>
                <w:snapToGrid w:val="0"/>
                <w:spacing w:val="20"/>
                <w:kern w:val="0"/>
                <w:sz w:val="22"/>
              </w:rPr>
            </w:pPr>
          </w:p>
        </w:tc>
        <w:tc>
          <w:tcPr>
            <w:tcW w:w="1701" w:type="dxa"/>
          </w:tcPr>
          <w:p w14:paraId="3B72F989" w14:textId="77777777" w:rsidR="00DF53EC" w:rsidRDefault="00DF53EC" w:rsidP="00916066">
            <w:pPr>
              <w:jc w:val="both"/>
              <w:rPr>
                <w:rFonts w:ascii="新細明體"/>
                <w:snapToGrid w:val="0"/>
                <w:spacing w:val="20"/>
                <w:kern w:val="0"/>
                <w:sz w:val="22"/>
              </w:rPr>
            </w:pPr>
          </w:p>
        </w:tc>
        <w:tc>
          <w:tcPr>
            <w:tcW w:w="993" w:type="dxa"/>
          </w:tcPr>
          <w:p w14:paraId="44DBD87B" w14:textId="77777777" w:rsidR="00DF53EC" w:rsidRDefault="00DF53EC" w:rsidP="00916066">
            <w:pPr>
              <w:jc w:val="both"/>
              <w:rPr>
                <w:rFonts w:ascii="新細明體"/>
                <w:snapToGrid w:val="0"/>
                <w:spacing w:val="20"/>
                <w:kern w:val="0"/>
                <w:sz w:val="22"/>
              </w:rPr>
            </w:pPr>
          </w:p>
        </w:tc>
        <w:tc>
          <w:tcPr>
            <w:tcW w:w="1701" w:type="dxa"/>
          </w:tcPr>
          <w:p w14:paraId="410CCD1C" w14:textId="77777777" w:rsidR="00DF53EC" w:rsidRDefault="00DF53EC" w:rsidP="00916066">
            <w:pPr>
              <w:jc w:val="both"/>
              <w:rPr>
                <w:rFonts w:ascii="新細明體"/>
                <w:snapToGrid w:val="0"/>
                <w:spacing w:val="20"/>
                <w:kern w:val="0"/>
                <w:sz w:val="22"/>
              </w:rPr>
            </w:pPr>
          </w:p>
        </w:tc>
        <w:tc>
          <w:tcPr>
            <w:tcW w:w="1134" w:type="dxa"/>
          </w:tcPr>
          <w:p w14:paraId="232590A0" w14:textId="77777777" w:rsidR="00DF53EC" w:rsidRDefault="00DF53EC" w:rsidP="00916066">
            <w:pPr>
              <w:jc w:val="both"/>
              <w:rPr>
                <w:rFonts w:ascii="新細明體"/>
                <w:snapToGrid w:val="0"/>
                <w:spacing w:val="20"/>
                <w:kern w:val="0"/>
                <w:sz w:val="22"/>
              </w:rPr>
            </w:pPr>
          </w:p>
        </w:tc>
      </w:tr>
      <w:tr w:rsidR="004D1FF0" w14:paraId="79E97AA6" w14:textId="77777777" w:rsidTr="009C5083">
        <w:trPr>
          <w:trHeight w:val="476"/>
        </w:trPr>
        <w:tc>
          <w:tcPr>
            <w:tcW w:w="568" w:type="dxa"/>
          </w:tcPr>
          <w:p w14:paraId="325C5049" w14:textId="77777777" w:rsidR="00DF53EC" w:rsidRDefault="00DF53EC" w:rsidP="00916066">
            <w:pPr>
              <w:jc w:val="both"/>
              <w:rPr>
                <w:rFonts w:ascii="新細明體"/>
                <w:snapToGrid w:val="0"/>
                <w:spacing w:val="20"/>
                <w:kern w:val="0"/>
                <w:sz w:val="22"/>
              </w:rPr>
            </w:pPr>
          </w:p>
        </w:tc>
        <w:tc>
          <w:tcPr>
            <w:tcW w:w="992" w:type="dxa"/>
          </w:tcPr>
          <w:p w14:paraId="1A80BC17" w14:textId="77777777" w:rsidR="00DF53EC" w:rsidRDefault="00DF53EC" w:rsidP="00916066">
            <w:pPr>
              <w:jc w:val="both"/>
              <w:rPr>
                <w:rFonts w:ascii="新細明體"/>
                <w:snapToGrid w:val="0"/>
                <w:spacing w:val="20"/>
                <w:kern w:val="0"/>
                <w:sz w:val="22"/>
              </w:rPr>
            </w:pPr>
          </w:p>
        </w:tc>
        <w:tc>
          <w:tcPr>
            <w:tcW w:w="709" w:type="dxa"/>
          </w:tcPr>
          <w:p w14:paraId="57BC8157" w14:textId="77777777" w:rsidR="00DF53EC" w:rsidRDefault="00DF53EC" w:rsidP="00916066">
            <w:pPr>
              <w:jc w:val="both"/>
              <w:rPr>
                <w:rFonts w:ascii="新細明體"/>
                <w:snapToGrid w:val="0"/>
                <w:spacing w:val="20"/>
                <w:kern w:val="0"/>
                <w:sz w:val="22"/>
              </w:rPr>
            </w:pPr>
          </w:p>
        </w:tc>
        <w:tc>
          <w:tcPr>
            <w:tcW w:w="567" w:type="dxa"/>
          </w:tcPr>
          <w:p w14:paraId="75BACF47" w14:textId="77777777" w:rsidR="00DF53EC" w:rsidRDefault="00DF53EC" w:rsidP="00916066">
            <w:pPr>
              <w:jc w:val="both"/>
              <w:rPr>
                <w:rFonts w:ascii="新細明體"/>
                <w:snapToGrid w:val="0"/>
                <w:spacing w:val="20"/>
                <w:kern w:val="0"/>
                <w:sz w:val="22"/>
              </w:rPr>
            </w:pPr>
          </w:p>
        </w:tc>
        <w:tc>
          <w:tcPr>
            <w:tcW w:w="709" w:type="dxa"/>
          </w:tcPr>
          <w:p w14:paraId="1AAECD7B" w14:textId="77777777" w:rsidR="00DF53EC" w:rsidRDefault="00DF53EC" w:rsidP="00916066">
            <w:pPr>
              <w:jc w:val="both"/>
              <w:rPr>
                <w:rFonts w:ascii="新細明體"/>
                <w:snapToGrid w:val="0"/>
                <w:spacing w:val="20"/>
                <w:kern w:val="0"/>
                <w:sz w:val="22"/>
              </w:rPr>
            </w:pPr>
          </w:p>
        </w:tc>
        <w:tc>
          <w:tcPr>
            <w:tcW w:w="850" w:type="dxa"/>
          </w:tcPr>
          <w:p w14:paraId="3F0DB6BC" w14:textId="77777777" w:rsidR="00DF53EC" w:rsidRDefault="00DF53EC" w:rsidP="00916066">
            <w:pPr>
              <w:jc w:val="both"/>
              <w:rPr>
                <w:rFonts w:ascii="新細明體"/>
                <w:snapToGrid w:val="0"/>
                <w:spacing w:val="20"/>
                <w:kern w:val="0"/>
                <w:sz w:val="22"/>
              </w:rPr>
            </w:pPr>
          </w:p>
        </w:tc>
        <w:tc>
          <w:tcPr>
            <w:tcW w:w="1418" w:type="dxa"/>
          </w:tcPr>
          <w:p w14:paraId="0C2815FA" w14:textId="77777777" w:rsidR="00DF53EC" w:rsidRDefault="00DF53EC" w:rsidP="00916066">
            <w:pPr>
              <w:jc w:val="both"/>
              <w:rPr>
                <w:rFonts w:ascii="新細明體"/>
                <w:snapToGrid w:val="0"/>
                <w:spacing w:val="20"/>
                <w:kern w:val="0"/>
                <w:sz w:val="22"/>
              </w:rPr>
            </w:pPr>
          </w:p>
        </w:tc>
        <w:tc>
          <w:tcPr>
            <w:tcW w:w="850" w:type="dxa"/>
          </w:tcPr>
          <w:p w14:paraId="78DFDCD3" w14:textId="77777777" w:rsidR="00DF53EC" w:rsidRDefault="00DF53EC" w:rsidP="00916066">
            <w:pPr>
              <w:jc w:val="both"/>
              <w:rPr>
                <w:rFonts w:ascii="新細明體"/>
                <w:snapToGrid w:val="0"/>
                <w:spacing w:val="20"/>
                <w:kern w:val="0"/>
                <w:sz w:val="22"/>
              </w:rPr>
            </w:pPr>
          </w:p>
        </w:tc>
        <w:tc>
          <w:tcPr>
            <w:tcW w:w="851" w:type="dxa"/>
          </w:tcPr>
          <w:p w14:paraId="3F279605" w14:textId="77777777" w:rsidR="00DF53EC" w:rsidRDefault="00DF53EC" w:rsidP="00916066">
            <w:pPr>
              <w:jc w:val="both"/>
              <w:rPr>
                <w:rFonts w:ascii="新細明體"/>
                <w:snapToGrid w:val="0"/>
                <w:spacing w:val="20"/>
                <w:kern w:val="0"/>
                <w:sz w:val="22"/>
              </w:rPr>
            </w:pPr>
          </w:p>
        </w:tc>
        <w:tc>
          <w:tcPr>
            <w:tcW w:w="1559" w:type="dxa"/>
          </w:tcPr>
          <w:p w14:paraId="6CB311F5" w14:textId="77777777" w:rsidR="00DF53EC" w:rsidRDefault="00DF53EC" w:rsidP="00916066">
            <w:pPr>
              <w:jc w:val="both"/>
              <w:rPr>
                <w:rFonts w:ascii="新細明體"/>
                <w:snapToGrid w:val="0"/>
                <w:spacing w:val="20"/>
                <w:kern w:val="0"/>
                <w:sz w:val="22"/>
              </w:rPr>
            </w:pPr>
          </w:p>
        </w:tc>
        <w:tc>
          <w:tcPr>
            <w:tcW w:w="1417" w:type="dxa"/>
          </w:tcPr>
          <w:p w14:paraId="2CC4E389" w14:textId="77777777" w:rsidR="00DF53EC" w:rsidRDefault="00DF53EC" w:rsidP="00916066">
            <w:pPr>
              <w:jc w:val="both"/>
              <w:rPr>
                <w:rFonts w:ascii="新細明體"/>
                <w:snapToGrid w:val="0"/>
                <w:spacing w:val="20"/>
                <w:kern w:val="0"/>
                <w:sz w:val="22"/>
              </w:rPr>
            </w:pPr>
          </w:p>
        </w:tc>
        <w:tc>
          <w:tcPr>
            <w:tcW w:w="1701" w:type="dxa"/>
          </w:tcPr>
          <w:p w14:paraId="1859B83E" w14:textId="77777777" w:rsidR="00DF53EC" w:rsidRDefault="00DF53EC" w:rsidP="00916066">
            <w:pPr>
              <w:jc w:val="both"/>
              <w:rPr>
                <w:rFonts w:ascii="新細明體"/>
                <w:snapToGrid w:val="0"/>
                <w:spacing w:val="20"/>
                <w:kern w:val="0"/>
                <w:sz w:val="22"/>
              </w:rPr>
            </w:pPr>
          </w:p>
        </w:tc>
        <w:tc>
          <w:tcPr>
            <w:tcW w:w="993" w:type="dxa"/>
          </w:tcPr>
          <w:p w14:paraId="44FDE236" w14:textId="77777777" w:rsidR="00DF53EC" w:rsidRDefault="00DF53EC" w:rsidP="00916066">
            <w:pPr>
              <w:jc w:val="both"/>
              <w:rPr>
                <w:rFonts w:ascii="新細明體"/>
                <w:snapToGrid w:val="0"/>
                <w:spacing w:val="20"/>
                <w:kern w:val="0"/>
                <w:sz w:val="22"/>
              </w:rPr>
            </w:pPr>
          </w:p>
        </w:tc>
        <w:tc>
          <w:tcPr>
            <w:tcW w:w="1701" w:type="dxa"/>
          </w:tcPr>
          <w:p w14:paraId="5ADC1A97" w14:textId="77777777" w:rsidR="00DF53EC" w:rsidRDefault="00DF53EC" w:rsidP="00916066">
            <w:pPr>
              <w:jc w:val="both"/>
              <w:rPr>
                <w:rFonts w:ascii="新細明體"/>
                <w:snapToGrid w:val="0"/>
                <w:spacing w:val="20"/>
                <w:kern w:val="0"/>
                <w:sz w:val="22"/>
              </w:rPr>
            </w:pPr>
          </w:p>
        </w:tc>
        <w:tc>
          <w:tcPr>
            <w:tcW w:w="1134" w:type="dxa"/>
          </w:tcPr>
          <w:p w14:paraId="48F4FF0D" w14:textId="77777777" w:rsidR="00DF53EC" w:rsidRDefault="00DF53EC" w:rsidP="00916066">
            <w:pPr>
              <w:jc w:val="both"/>
              <w:rPr>
                <w:rFonts w:ascii="新細明體"/>
                <w:snapToGrid w:val="0"/>
                <w:spacing w:val="20"/>
                <w:kern w:val="0"/>
                <w:sz w:val="22"/>
              </w:rPr>
            </w:pPr>
          </w:p>
        </w:tc>
      </w:tr>
      <w:tr w:rsidR="004D1FF0" w14:paraId="7D5848F3" w14:textId="77777777" w:rsidTr="009C5083">
        <w:trPr>
          <w:trHeight w:val="476"/>
        </w:trPr>
        <w:tc>
          <w:tcPr>
            <w:tcW w:w="568" w:type="dxa"/>
          </w:tcPr>
          <w:p w14:paraId="0D1325D9" w14:textId="77777777" w:rsidR="00DF53EC" w:rsidRDefault="00DF53EC" w:rsidP="00916066">
            <w:pPr>
              <w:jc w:val="both"/>
              <w:rPr>
                <w:rFonts w:ascii="新細明體"/>
                <w:snapToGrid w:val="0"/>
                <w:spacing w:val="20"/>
                <w:kern w:val="0"/>
                <w:sz w:val="22"/>
              </w:rPr>
            </w:pPr>
          </w:p>
        </w:tc>
        <w:tc>
          <w:tcPr>
            <w:tcW w:w="992" w:type="dxa"/>
          </w:tcPr>
          <w:p w14:paraId="329FACE8" w14:textId="77777777" w:rsidR="00DF53EC" w:rsidRDefault="00DF53EC" w:rsidP="00916066">
            <w:pPr>
              <w:jc w:val="both"/>
              <w:rPr>
                <w:rFonts w:ascii="新細明體"/>
                <w:snapToGrid w:val="0"/>
                <w:spacing w:val="20"/>
                <w:kern w:val="0"/>
                <w:sz w:val="22"/>
              </w:rPr>
            </w:pPr>
          </w:p>
        </w:tc>
        <w:tc>
          <w:tcPr>
            <w:tcW w:w="709" w:type="dxa"/>
          </w:tcPr>
          <w:p w14:paraId="32B9072A" w14:textId="77777777" w:rsidR="00DF53EC" w:rsidRDefault="00DF53EC" w:rsidP="00916066">
            <w:pPr>
              <w:jc w:val="both"/>
              <w:rPr>
                <w:rFonts w:ascii="新細明體"/>
                <w:snapToGrid w:val="0"/>
                <w:spacing w:val="20"/>
                <w:kern w:val="0"/>
                <w:sz w:val="22"/>
              </w:rPr>
            </w:pPr>
          </w:p>
        </w:tc>
        <w:tc>
          <w:tcPr>
            <w:tcW w:w="567" w:type="dxa"/>
          </w:tcPr>
          <w:p w14:paraId="7F54A9A6" w14:textId="77777777" w:rsidR="00DF53EC" w:rsidRDefault="00DF53EC" w:rsidP="00916066">
            <w:pPr>
              <w:jc w:val="both"/>
              <w:rPr>
                <w:rFonts w:ascii="新細明體"/>
                <w:snapToGrid w:val="0"/>
                <w:spacing w:val="20"/>
                <w:kern w:val="0"/>
                <w:sz w:val="22"/>
              </w:rPr>
            </w:pPr>
          </w:p>
        </w:tc>
        <w:tc>
          <w:tcPr>
            <w:tcW w:w="709" w:type="dxa"/>
          </w:tcPr>
          <w:p w14:paraId="6DFD4BE0" w14:textId="77777777" w:rsidR="00DF53EC" w:rsidRDefault="00DF53EC" w:rsidP="00916066">
            <w:pPr>
              <w:jc w:val="both"/>
              <w:rPr>
                <w:rFonts w:ascii="新細明體"/>
                <w:snapToGrid w:val="0"/>
                <w:spacing w:val="20"/>
                <w:kern w:val="0"/>
                <w:sz w:val="22"/>
              </w:rPr>
            </w:pPr>
          </w:p>
        </w:tc>
        <w:tc>
          <w:tcPr>
            <w:tcW w:w="850" w:type="dxa"/>
          </w:tcPr>
          <w:p w14:paraId="2954B2E8" w14:textId="77777777" w:rsidR="00DF53EC" w:rsidRDefault="00DF53EC" w:rsidP="00916066">
            <w:pPr>
              <w:jc w:val="both"/>
              <w:rPr>
                <w:rFonts w:ascii="新細明體"/>
                <w:snapToGrid w:val="0"/>
                <w:spacing w:val="20"/>
                <w:kern w:val="0"/>
                <w:sz w:val="22"/>
              </w:rPr>
            </w:pPr>
          </w:p>
        </w:tc>
        <w:tc>
          <w:tcPr>
            <w:tcW w:w="1418" w:type="dxa"/>
          </w:tcPr>
          <w:p w14:paraId="316042BA" w14:textId="77777777" w:rsidR="00DF53EC" w:rsidRDefault="00DF53EC" w:rsidP="00916066">
            <w:pPr>
              <w:jc w:val="both"/>
              <w:rPr>
                <w:rFonts w:ascii="新細明體"/>
                <w:snapToGrid w:val="0"/>
                <w:spacing w:val="20"/>
                <w:kern w:val="0"/>
                <w:sz w:val="22"/>
              </w:rPr>
            </w:pPr>
          </w:p>
        </w:tc>
        <w:tc>
          <w:tcPr>
            <w:tcW w:w="850" w:type="dxa"/>
          </w:tcPr>
          <w:p w14:paraId="54ECA83E" w14:textId="77777777" w:rsidR="00DF53EC" w:rsidRDefault="00DF53EC" w:rsidP="00916066">
            <w:pPr>
              <w:jc w:val="both"/>
              <w:rPr>
                <w:rFonts w:ascii="新細明體"/>
                <w:snapToGrid w:val="0"/>
                <w:spacing w:val="20"/>
                <w:kern w:val="0"/>
                <w:sz w:val="22"/>
              </w:rPr>
            </w:pPr>
          </w:p>
        </w:tc>
        <w:tc>
          <w:tcPr>
            <w:tcW w:w="851" w:type="dxa"/>
          </w:tcPr>
          <w:p w14:paraId="15FF4817" w14:textId="77777777" w:rsidR="00DF53EC" w:rsidRDefault="00DF53EC" w:rsidP="00916066">
            <w:pPr>
              <w:jc w:val="both"/>
              <w:rPr>
                <w:rFonts w:ascii="新細明體"/>
                <w:snapToGrid w:val="0"/>
                <w:spacing w:val="20"/>
                <w:kern w:val="0"/>
                <w:sz w:val="22"/>
              </w:rPr>
            </w:pPr>
          </w:p>
        </w:tc>
        <w:tc>
          <w:tcPr>
            <w:tcW w:w="1559" w:type="dxa"/>
          </w:tcPr>
          <w:p w14:paraId="7D7D4D9A" w14:textId="77777777" w:rsidR="00DF53EC" w:rsidRDefault="00DF53EC" w:rsidP="00916066">
            <w:pPr>
              <w:jc w:val="both"/>
              <w:rPr>
                <w:rFonts w:ascii="新細明體"/>
                <w:snapToGrid w:val="0"/>
                <w:spacing w:val="20"/>
                <w:kern w:val="0"/>
                <w:sz w:val="22"/>
              </w:rPr>
            </w:pPr>
          </w:p>
        </w:tc>
        <w:tc>
          <w:tcPr>
            <w:tcW w:w="1417" w:type="dxa"/>
          </w:tcPr>
          <w:p w14:paraId="4B171670" w14:textId="77777777" w:rsidR="00DF53EC" w:rsidRDefault="00DF53EC" w:rsidP="00916066">
            <w:pPr>
              <w:jc w:val="both"/>
              <w:rPr>
                <w:rFonts w:ascii="新細明體"/>
                <w:snapToGrid w:val="0"/>
                <w:spacing w:val="20"/>
                <w:kern w:val="0"/>
                <w:sz w:val="22"/>
              </w:rPr>
            </w:pPr>
          </w:p>
        </w:tc>
        <w:tc>
          <w:tcPr>
            <w:tcW w:w="1701" w:type="dxa"/>
          </w:tcPr>
          <w:p w14:paraId="4FC4AC84" w14:textId="77777777" w:rsidR="00DF53EC" w:rsidRDefault="00DF53EC" w:rsidP="00916066">
            <w:pPr>
              <w:jc w:val="both"/>
              <w:rPr>
                <w:rFonts w:ascii="新細明體"/>
                <w:snapToGrid w:val="0"/>
                <w:spacing w:val="20"/>
                <w:kern w:val="0"/>
                <w:sz w:val="22"/>
              </w:rPr>
            </w:pPr>
          </w:p>
        </w:tc>
        <w:tc>
          <w:tcPr>
            <w:tcW w:w="993" w:type="dxa"/>
          </w:tcPr>
          <w:p w14:paraId="471B1806" w14:textId="77777777" w:rsidR="00DF53EC" w:rsidRDefault="00DF53EC" w:rsidP="00916066">
            <w:pPr>
              <w:jc w:val="both"/>
              <w:rPr>
                <w:rFonts w:ascii="新細明體"/>
                <w:snapToGrid w:val="0"/>
                <w:spacing w:val="20"/>
                <w:kern w:val="0"/>
                <w:sz w:val="22"/>
              </w:rPr>
            </w:pPr>
          </w:p>
        </w:tc>
        <w:tc>
          <w:tcPr>
            <w:tcW w:w="1701" w:type="dxa"/>
          </w:tcPr>
          <w:p w14:paraId="75757060" w14:textId="77777777" w:rsidR="00DF53EC" w:rsidRDefault="00DF53EC" w:rsidP="00916066">
            <w:pPr>
              <w:jc w:val="both"/>
              <w:rPr>
                <w:rFonts w:ascii="新細明體"/>
                <w:snapToGrid w:val="0"/>
                <w:spacing w:val="20"/>
                <w:kern w:val="0"/>
                <w:sz w:val="22"/>
              </w:rPr>
            </w:pPr>
          </w:p>
        </w:tc>
        <w:tc>
          <w:tcPr>
            <w:tcW w:w="1134" w:type="dxa"/>
          </w:tcPr>
          <w:p w14:paraId="3564F6AE" w14:textId="77777777" w:rsidR="00DF53EC" w:rsidRDefault="00DF53EC" w:rsidP="00916066">
            <w:pPr>
              <w:jc w:val="both"/>
              <w:rPr>
                <w:rFonts w:ascii="新細明體"/>
                <w:snapToGrid w:val="0"/>
                <w:spacing w:val="20"/>
                <w:kern w:val="0"/>
                <w:sz w:val="22"/>
              </w:rPr>
            </w:pPr>
          </w:p>
        </w:tc>
      </w:tr>
    </w:tbl>
    <w:p w14:paraId="3EF38704" w14:textId="77777777" w:rsidR="000D763D" w:rsidRPr="007C35CE" w:rsidRDefault="000D763D" w:rsidP="008C2ACB">
      <w:pPr>
        <w:rPr>
          <w:rFonts w:ascii="新細明體"/>
        </w:rPr>
      </w:pPr>
      <w:r w:rsidRPr="007C35CE">
        <w:rPr>
          <w:rFonts w:ascii="新細明體" w:hint="eastAsia"/>
        </w:rPr>
        <w:t>符號說明：</w:t>
      </w:r>
      <w:r w:rsidRPr="007C35CE">
        <w:rPr>
          <w:rFonts w:ascii="新細明體"/>
        </w:rPr>
        <w:t xml:space="preserve">  </w:t>
      </w:r>
      <w:r w:rsidRPr="007C35CE">
        <w:rPr>
          <w:rFonts w:ascii="新細明體" w:hint="eastAsia"/>
        </w:rPr>
        <w:t>是：</w:t>
      </w:r>
      <w:r w:rsidR="008C2ACB" w:rsidRPr="004072FD">
        <w:rPr>
          <w:rFonts w:ascii="新細明體" w:hint="eastAsia"/>
        </w:rPr>
        <w:sym w:font="Wingdings 2" w:char="F050"/>
      </w:r>
      <w:r w:rsidRPr="007C35CE">
        <w:rPr>
          <w:rFonts w:ascii="新細明體"/>
        </w:rPr>
        <w:t xml:space="preserve">   </w:t>
      </w:r>
      <w:r w:rsidRPr="007C35CE">
        <w:rPr>
          <w:rFonts w:ascii="新細明體" w:hint="eastAsia"/>
        </w:rPr>
        <w:t>否：×</w:t>
      </w:r>
      <w:r w:rsidRPr="007C35CE">
        <w:rPr>
          <w:rFonts w:ascii="新細明體"/>
        </w:rPr>
        <w:t xml:space="preserve">   </w:t>
      </w:r>
      <w:r w:rsidRPr="007C35CE">
        <w:rPr>
          <w:rFonts w:ascii="新細明體" w:hint="eastAsia"/>
        </w:rPr>
        <w:t>不適用：－</w:t>
      </w:r>
      <w:r w:rsidRPr="007C35CE">
        <w:rPr>
          <w:rFonts w:ascii="新細明體"/>
        </w:rPr>
        <w:t xml:space="preserve"> </w:t>
      </w:r>
    </w:p>
    <w:p w14:paraId="1F8F7E4B" w14:textId="49EB9EC9" w:rsidR="000D763D" w:rsidRPr="000D763D" w:rsidRDefault="000D763D" w:rsidP="004B0E4E">
      <w:r w:rsidRPr="007C35CE">
        <w:rPr>
          <w:rFonts w:ascii="新細明體" w:hint="eastAsia"/>
        </w:rPr>
        <w:t>稽核人員：</w:t>
      </w:r>
      <w:r w:rsidRPr="007C35CE">
        <w:rPr>
          <w:rFonts w:ascii="新細明體"/>
        </w:rPr>
        <w:t xml:space="preserve">                                       </w:t>
      </w:r>
      <w:r w:rsidRPr="007C35CE">
        <w:rPr>
          <w:rFonts w:ascii="新細明體" w:hint="eastAsia"/>
        </w:rPr>
        <w:t>查核日期：</w:t>
      </w:r>
      <w:r w:rsidRPr="007C35CE">
        <w:rPr>
          <w:rFonts w:ascii="新細明體"/>
        </w:rPr>
        <w:t xml:space="preserve">   </w:t>
      </w:r>
      <w:r w:rsidRPr="007C35CE">
        <w:rPr>
          <w:rFonts w:ascii="新細明體" w:hint="eastAsia"/>
        </w:rPr>
        <w:t>年</w:t>
      </w:r>
      <w:r w:rsidRPr="007C35CE">
        <w:rPr>
          <w:rFonts w:ascii="新細明體"/>
        </w:rPr>
        <w:t xml:space="preserve">   </w:t>
      </w:r>
      <w:r w:rsidRPr="007C35CE">
        <w:rPr>
          <w:rFonts w:ascii="新細明體" w:hint="eastAsia"/>
        </w:rPr>
        <w:t>月</w:t>
      </w:r>
      <w:r w:rsidRPr="007C35CE">
        <w:rPr>
          <w:rFonts w:ascii="新細明體"/>
        </w:rPr>
        <w:t xml:space="preserve">   </w:t>
      </w:r>
      <w:r w:rsidRPr="007C35CE">
        <w:rPr>
          <w:rFonts w:ascii="新細明體" w:hint="eastAsia"/>
        </w:rPr>
        <w:t>日</w:t>
      </w:r>
      <w:r w:rsidRPr="007C35CE">
        <w:rPr>
          <w:rFonts w:ascii="新細明體"/>
        </w:rPr>
        <w:t xml:space="preserve">                                  </w:t>
      </w:r>
      <w:r w:rsidRPr="007C35CE">
        <w:rPr>
          <w:rFonts w:ascii="新細明體" w:hint="eastAsia"/>
        </w:rPr>
        <w:t>底稿編號：</w:t>
      </w:r>
      <w:r w:rsidRPr="00007B48">
        <w:rPr>
          <w:rFonts w:ascii="新細明體"/>
          <w:u w:val="single"/>
        </w:rPr>
        <w:t xml:space="preserve">     </w:t>
      </w:r>
      <w:r w:rsidR="00007B48" w:rsidRPr="00007B48">
        <w:rPr>
          <w:rFonts w:ascii="新細明體" w:hint="eastAsia"/>
          <w:u w:val="single"/>
        </w:rPr>
        <w:t xml:space="preserve">   </w:t>
      </w:r>
      <w:r w:rsidRPr="00007B48">
        <w:rPr>
          <w:rFonts w:ascii="新細明體"/>
          <w:u w:val="single"/>
        </w:rPr>
        <w:t xml:space="preserve">   </w:t>
      </w:r>
      <w:r w:rsidRPr="00007B48">
        <w:rPr>
          <w:rFonts w:eastAsia="標楷體"/>
          <w:u w:val="single"/>
        </w:rPr>
        <w:t xml:space="preserve"> </w:t>
      </w:r>
    </w:p>
    <w:sectPr w:rsidR="000D763D" w:rsidRPr="000D763D" w:rsidSect="004B0E4E">
      <w:headerReference w:type="default" r:id="rId6"/>
      <w:footerReference w:type="default" r:id="rId7"/>
      <w:pgSz w:w="16838" w:h="11906" w:orient="landscape"/>
      <w:pgMar w:top="567" w:right="454" w:bottom="567"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1FD76" w14:textId="77777777" w:rsidR="00AA3F81" w:rsidRDefault="00AA3F81" w:rsidP="000D763D">
      <w:r>
        <w:separator/>
      </w:r>
    </w:p>
  </w:endnote>
  <w:endnote w:type="continuationSeparator" w:id="0">
    <w:p w14:paraId="1695696D" w14:textId="77777777" w:rsidR="00AA3F81" w:rsidRDefault="00AA3F81" w:rsidP="000D7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icrosoftJhengHeiRegular">
    <w:altName w:val="微軟正黑體"/>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F4A9" w14:textId="6D9D7B62" w:rsidR="004B0E4E" w:rsidRDefault="004B0E4E" w:rsidP="004B0E4E">
    <w:pPr>
      <w:pStyle w:val="a5"/>
      <w:jc w:val="center"/>
    </w:pPr>
    <w:r w:rsidRPr="004B0E4E">
      <w:t>WA-18400-M-1</w:t>
    </w:r>
  </w:p>
  <w:p w14:paraId="69B6B5E4" w14:textId="77777777" w:rsidR="004B0E4E" w:rsidRDefault="004B0E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711E6" w14:textId="77777777" w:rsidR="00AA3F81" w:rsidRDefault="00AA3F81" w:rsidP="000D763D">
      <w:r>
        <w:separator/>
      </w:r>
    </w:p>
  </w:footnote>
  <w:footnote w:type="continuationSeparator" w:id="0">
    <w:p w14:paraId="59CB424F" w14:textId="77777777" w:rsidR="00AA3F81" w:rsidRDefault="00AA3F81" w:rsidP="000D7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4874D" w14:textId="77777777" w:rsidR="000D763D" w:rsidRDefault="000D763D" w:rsidP="000833A6">
    <w:pPr>
      <w:spacing w:after="120" w:line="320" w:lineRule="exact"/>
      <w:jc w:val="center"/>
      <w:rPr>
        <w:rFonts w:ascii="新細明體"/>
        <w:sz w:val="32"/>
      </w:rPr>
    </w:pPr>
    <w:r>
      <w:rPr>
        <w:rFonts w:ascii="新細明體" w:hint="eastAsia"/>
        <w:sz w:val="32"/>
      </w:rPr>
      <w:t>業務及收入循環：自營（集中、櫃檯）</w:t>
    </w:r>
  </w:p>
  <w:p w14:paraId="1CE7489A" w14:textId="21DD916C" w:rsidR="000D763D" w:rsidRDefault="000D763D" w:rsidP="007862CF">
    <w:pPr>
      <w:pStyle w:val="a3"/>
      <w:jc w:val="center"/>
    </w:pPr>
    <w:r>
      <w:rPr>
        <w:rFonts w:ascii="新細明體" w:hint="eastAsia"/>
        <w:sz w:val="28"/>
      </w:rPr>
      <w:t>自行買賣外國有價證券及從事外國衍生性金融商品交易查核工作底稿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63D"/>
    <w:rsid w:val="00007B48"/>
    <w:rsid w:val="00020716"/>
    <w:rsid w:val="00021ED8"/>
    <w:rsid w:val="00024469"/>
    <w:rsid w:val="0003002F"/>
    <w:rsid w:val="00051260"/>
    <w:rsid w:val="0006337F"/>
    <w:rsid w:val="0007016C"/>
    <w:rsid w:val="000833A6"/>
    <w:rsid w:val="000B5E40"/>
    <w:rsid w:val="000C26D4"/>
    <w:rsid w:val="000D2EAA"/>
    <w:rsid w:val="000D763D"/>
    <w:rsid w:val="000F7D19"/>
    <w:rsid w:val="00134195"/>
    <w:rsid w:val="00166C34"/>
    <w:rsid w:val="002C5BBF"/>
    <w:rsid w:val="002D14D7"/>
    <w:rsid w:val="003027EE"/>
    <w:rsid w:val="00312334"/>
    <w:rsid w:val="00330A44"/>
    <w:rsid w:val="00347487"/>
    <w:rsid w:val="003653EE"/>
    <w:rsid w:val="00373BFD"/>
    <w:rsid w:val="004072FD"/>
    <w:rsid w:val="00452579"/>
    <w:rsid w:val="004613F5"/>
    <w:rsid w:val="0049042C"/>
    <w:rsid w:val="004B0E4E"/>
    <w:rsid w:val="004D1FF0"/>
    <w:rsid w:val="004D62D2"/>
    <w:rsid w:val="004E1DB4"/>
    <w:rsid w:val="00504B38"/>
    <w:rsid w:val="005802B7"/>
    <w:rsid w:val="005948A5"/>
    <w:rsid w:val="005D30BD"/>
    <w:rsid w:val="00652267"/>
    <w:rsid w:val="00662D9E"/>
    <w:rsid w:val="00665248"/>
    <w:rsid w:val="006A49C3"/>
    <w:rsid w:val="006C237C"/>
    <w:rsid w:val="007257B3"/>
    <w:rsid w:val="0073230E"/>
    <w:rsid w:val="00733287"/>
    <w:rsid w:val="00781565"/>
    <w:rsid w:val="007862CF"/>
    <w:rsid w:val="00786887"/>
    <w:rsid w:val="00796270"/>
    <w:rsid w:val="0079634C"/>
    <w:rsid w:val="0082192C"/>
    <w:rsid w:val="00847A11"/>
    <w:rsid w:val="0085305D"/>
    <w:rsid w:val="00866190"/>
    <w:rsid w:val="00871F64"/>
    <w:rsid w:val="00882177"/>
    <w:rsid w:val="008B01BB"/>
    <w:rsid w:val="008C2ACB"/>
    <w:rsid w:val="008F4560"/>
    <w:rsid w:val="00903109"/>
    <w:rsid w:val="00925C21"/>
    <w:rsid w:val="00935CB5"/>
    <w:rsid w:val="00950AC0"/>
    <w:rsid w:val="00982B0A"/>
    <w:rsid w:val="009A1DAB"/>
    <w:rsid w:val="009B32F0"/>
    <w:rsid w:val="009B63B3"/>
    <w:rsid w:val="009C5083"/>
    <w:rsid w:val="00A26056"/>
    <w:rsid w:val="00A53D06"/>
    <w:rsid w:val="00A63099"/>
    <w:rsid w:val="00A63159"/>
    <w:rsid w:val="00A759E6"/>
    <w:rsid w:val="00AA3F81"/>
    <w:rsid w:val="00AB5B95"/>
    <w:rsid w:val="00AC3D98"/>
    <w:rsid w:val="00AD0159"/>
    <w:rsid w:val="00AE0372"/>
    <w:rsid w:val="00AE5F28"/>
    <w:rsid w:val="00AF1768"/>
    <w:rsid w:val="00AF306C"/>
    <w:rsid w:val="00B57558"/>
    <w:rsid w:val="00B62334"/>
    <w:rsid w:val="00B92D6E"/>
    <w:rsid w:val="00BB7065"/>
    <w:rsid w:val="00BC4887"/>
    <w:rsid w:val="00BF014F"/>
    <w:rsid w:val="00C40189"/>
    <w:rsid w:val="00C566DF"/>
    <w:rsid w:val="00C72AAA"/>
    <w:rsid w:val="00CD506F"/>
    <w:rsid w:val="00CE48AC"/>
    <w:rsid w:val="00CE6B5A"/>
    <w:rsid w:val="00D50131"/>
    <w:rsid w:val="00D87405"/>
    <w:rsid w:val="00DB36CB"/>
    <w:rsid w:val="00DD1BBF"/>
    <w:rsid w:val="00DD4991"/>
    <w:rsid w:val="00DD529F"/>
    <w:rsid w:val="00DD704C"/>
    <w:rsid w:val="00DF0BC0"/>
    <w:rsid w:val="00DF53EC"/>
    <w:rsid w:val="00E05130"/>
    <w:rsid w:val="00E12A47"/>
    <w:rsid w:val="00E3237B"/>
    <w:rsid w:val="00E36116"/>
    <w:rsid w:val="00E37B3F"/>
    <w:rsid w:val="00E40D29"/>
    <w:rsid w:val="00E51144"/>
    <w:rsid w:val="00E516BA"/>
    <w:rsid w:val="00E9242A"/>
    <w:rsid w:val="00E969D0"/>
    <w:rsid w:val="00EC1EB1"/>
    <w:rsid w:val="00F4739A"/>
    <w:rsid w:val="00F615A2"/>
    <w:rsid w:val="00F66E88"/>
    <w:rsid w:val="00F71206"/>
    <w:rsid w:val="00FB62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1C5E2"/>
  <w15:docId w15:val="{CE18F282-BFE4-46C2-A1FF-243291C6C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63D"/>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763D"/>
    <w:pPr>
      <w:tabs>
        <w:tab w:val="center" w:pos="4153"/>
        <w:tab w:val="right" w:pos="8306"/>
      </w:tabs>
      <w:snapToGrid w:val="0"/>
    </w:pPr>
    <w:rPr>
      <w:sz w:val="20"/>
    </w:rPr>
  </w:style>
  <w:style w:type="character" w:customStyle="1" w:styleId="a4">
    <w:name w:val="頁首 字元"/>
    <w:basedOn w:val="a0"/>
    <w:link w:val="a3"/>
    <w:uiPriority w:val="99"/>
    <w:rsid w:val="000D763D"/>
    <w:rPr>
      <w:rFonts w:ascii="Times New Roman" w:eastAsia="新細明體" w:hAnsi="Times New Roman" w:cs="Times New Roman"/>
      <w:sz w:val="20"/>
      <w:szCs w:val="20"/>
    </w:rPr>
  </w:style>
  <w:style w:type="paragraph" w:styleId="a5">
    <w:name w:val="footer"/>
    <w:basedOn w:val="a"/>
    <w:link w:val="a6"/>
    <w:uiPriority w:val="99"/>
    <w:unhideWhenUsed/>
    <w:rsid w:val="000D763D"/>
    <w:pPr>
      <w:tabs>
        <w:tab w:val="center" w:pos="4153"/>
        <w:tab w:val="right" w:pos="8306"/>
      </w:tabs>
      <w:snapToGrid w:val="0"/>
    </w:pPr>
    <w:rPr>
      <w:sz w:val="20"/>
    </w:rPr>
  </w:style>
  <w:style w:type="character" w:customStyle="1" w:styleId="a6">
    <w:name w:val="頁尾 字元"/>
    <w:basedOn w:val="a0"/>
    <w:link w:val="a5"/>
    <w:uiPriority w:val="99"/>
    <w:rsid w:val="000D763D"/>
    <w:rPr>
      <w:rFonts w:ascii="Times New Roman" w:eastAsia="新細明體" w:hAnsi="Times New Roman" w:cs="Times New Roman"/>
      <w:sz w:val="20"/>
      <w:szCs w:val="20"/>
    </w:rPr>
  </w:style>
  <w:style w:type="paragraph" w:styleId="a7">
    <w:name w:val="Balloon Text"/>
    <w:basedOn w:val="a"/>
    <w:link w:val="a8"/>
    <w:uiPriority w:val="99"/>
    <w:semiHidden/>
    <w:unhideWhenUsed/>
    <w:rsid w:val="000D763D"/>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D76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曾瑜萍</dc:creator>
  <cp:lastModifiedBy>劉佳宜</cp:lastModifiedBy>
  <cp:revision>38</cp:revision>
  <cp:lastPrinted>2022-12-22T06:39:00Z</cp:lastPrinted>
  <dcterms:created xsi:type="dcterms:W3CDTF">2017-02-02T10:12:00Z</dcterms:created>
  <dcterms:modified xsi:type="dcterms:W3CDTF">2022-12-22T06:39:00Z</dcterms:modified>
</cp:coreProperties>
</file>