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3C89A25A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修訂對照表</w:t>
      </w:r>
      <w:bookmarkStart w:id="0" w:name="_GoBack"/>
      <w:bookmarkEnd w:id="0"/>
      <w:r w:rsidR="00EF11B3">
        <w:rPr>
          <w:rFonts w:ascii="新細明體" w:eastAsia="新細明體" w:cs="新細明體" w:hint="eastAsia"/>
          <w:color w:val="000000"/>
        </w:rPr>
        <w:t>(111.</w:t>
      </w:r>
      <w:r w:rsidR="008D6BAF" w:rsidRPr="008D6BAF">
        <w:rPr>
          <w:rFonts w:ascii="新細明體" w:eastAsia="新細明體" w:cs="新細明體" w:hint="eastAsia"/>
          <w:color w:val="000000"/>
        </w:rPr>
        <w:t>0</w:t>
      </w:r>
      <w:r w:rsidR="00EF11B3">
        <w:rPr>
          <w:rFonts w:ascii="新細明體" w:eastAsia="新細明體" w:cs="新細明體" w:hint="eastAsia"/>
          <w:color w:val="000000"/>
        </w:rPr>
        <w:t>9.</w:t>
      </w:r>
      <w:r w:rsidR="008D6BAF" w:rsidRPr="008D6BAF">
        <w:rPr>
          <w:rFonts w:ascii="新細明體" w:eastAsia="新細明體" w:cs="新細明體" w:hint="eastAsia"/>
          <w:color w:val="000000"/>
        </w:rPr>
        <w:t>1</w:t>
      </w:r>
      <w:r w:rsidR="00EF11B3">
        <w:rPr>
          <w:rFonts w:ascii="新細明體" w:eastAsia="新細明體" w:cs="新細明體" w:hint="eastAsia"/>
          <w:color w:val="000000"/>
        </w:rPr>
        <w:t>9</w:t>
      </w:r>
      <w:r w:rsidR="008D6BAF" w:rsidRPr="008D6BAF">
        <w:rPr>
          <w:rFonts w:ascii="新細明體" w:eastAsia="新細明體" w:cs="新細明體" w:hint="eastAsia"/>
          <w:color w:val="000000"/>
        </w:rPr>
        <w:t>生效)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350D20" w14:paraId="251307BE" w14:textId="77777777" w:rsidTr="0043269E">
        <w:trPr>
          <w:trHeight w:val="7625"/>
        </w:trPr>
        <w:tc>
          <w:tcPr>
            <w:tcW w:w="868" w:type="dxa"/>
            <w:tcBorders>
              <w:top w:val="single" w:sz="12" w:space="0" w:color="auto"/>
            </w:tcBorders>
          </w:tcPr>
          <w:p w14:paraId="3F929527" w14:textId="77777777" w:rsidR="00350D20" w:rsidRPr="00E17D45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E17D45">
              <w:rPr>
                <w:rFonts w:ascii="新細明體" w:eastAsia="新細明體" w:cs="新細明體"/>
                <w:color w:val="000000"/>
              </w:rPr>
              <w:t>AA-11210</w:t>
            </w:r>
          </w:p>
          <w:p w14:paraId="7570CBD0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347D1D1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7548FE16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C4896EC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57D288C4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42D5A76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98449AE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30B463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2919A0C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6CFB80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9D46E3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595F7C0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354E2F35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375CF6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29A2A9B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0569325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68AF1A6" w14:textId="77777777" w:rsidR="007564E4" w:rsidRDefault="007564E4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7CB62A18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A3CE7E3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1FE7E411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8CA8614" w14:textId="77777777" w:rsidR="00687189" w:rsidRPr="00E17D45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E17D45">
              <w:rPr>
                <w:rFonts w:ascii="新細明體" w:eastAsia="新細明體" w:cs="新細明體"/>
                <w:color w:val="000000"/>
              </w:rPr>
              <w:lastRenderedPageBreak/>
              <w:t>AA-11210</w:t>
            </w:r>
          </w:p>
          <w:p w14:paraId="3C86AF1E" w14:textId="77777777" w:rsidR="00687189" w:rsidRDefault="00687189" w:rsidP="00687189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5F8E36C" w14:textId="77777777" w:rsidR="00687189" w:rsidRDefault="00687189" w:rsidP="00687189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83971B1" w14:textId="77777777" w:rsidR="00687189" w:rsidRDefault="00687189" w:rsidP="00687189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72FE5435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06C042A2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B618CC1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C4489E1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9724700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4503B0F3" w14:textId="65C59F04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39A829ED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lastRenderedPageBreak/>
              <w:t>受託買賣及成交作業之稽核</w:t>
            </w:r>
          </w:p>
          <w:p w14:paraId="035D462A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2C595D4D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  <w:p w14:paraId="7B5D149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3CEC8302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86AB193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102B4A0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7C44237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F2D16FD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FD7CE0A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05081F4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3A52291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112BCF7F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8C4052A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730707C7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FC2503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3F670705" w14:textId="77777777" w:rsidR="007564E4" w:rsidRDefault="007564E4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398DE0EE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365915C1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lastRenderedPageBreak/>
              <w:t>受託買賣及成交作業之稽核</w:t>
            </w:r>
          </w:p>
          <w:p w14:paraId="12A44F34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447F394F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  <w:p w14:paraId="5FC6671C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96E8E16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014DD7EF" w14:textId="77777777" w:rsidR="00687189" w:rsidRPr="00235FE6" w:rsidRDefault="00687189" w:rsidP="00687189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0EBF5A48" w14:textId="77777777" w:rsidR="00687189" w:rsidRP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D9BEFE5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CBAE9F2" w14:textId="77777777" w:rsidR="00687189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0DE8256" w14:textId="6C8E5E0C" w:rsidR="00687189" w:rsidRPr="00235FE6" w:rsidRDefault="00687189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1723674C" w14:textId="77777777" w:rsidR="00F30D4A" w:rsidRP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lastRenderedPageBreak/>
              <w:t>作業週期：不定期（每週至少查核乙次）</w:t>
            </w:r>
          </w:p>
          <w:p w14:paraId="443E92B8" w14:textId="77777777" w:rsidR="00F30D4A" w:rsidRPr="00235FE6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>(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>五</w:t>
            </w: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>)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內部人員交易：</w:t>
            </w:r>
          </w:p>
          <w:p w14:paraId="2F8F7AF4" w14:textId="77777777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</w:pP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</w:t>
            </w:r>
            <w:r w:rsidRPr="006931F3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1.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-2.</w:t>
            </w:r>
            <w:r w:rsidRPr="002B7BFE"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略</w:t>
            </w:r>
          </w:p>
          <w:p w14:paraId="2E6CC1E0" w14:textId="5B70BE94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3.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公司是否指定專人每日分別檢視當日下列內部人員(含總分公司)之</w:t>
            </w:r>
            <w:r w:rsidR="00482D0B" w:rsidRPr="002B7BFE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szCs w:val="20"/>
                <w:u w:val="single"/>
              </w:rPr>
              <w:t>委託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買賣明細及其權責可知悉客戶之委託買賣明細，以瞭解內部人員有無利用職務知悉之消息而發生利益衝突之情事，如有於短時間(</w:t>
            </w:r>
            <w:r w:rsidR="005A4F47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szCs w:val="20"/>
                <w:u w:val="single"/>
              </w:rPr>
              <w:t>前後</w:t>
            </w:r>
            <w:r w:rsidRPr="00F30D4A">
              <w:rPr>
                <w:rFonts w:ascii="新細明體" w:eastAsia="新細明體" w:hAnsi="新細明體" w:cs="新細明體"/>
                <w:color w:val="000000" w:themeColor="text1"/>
              </w:rPr>
              <w:t>5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分鐘</w:t>
            </w:r>
            <w:r w:rsidRPr="00F30D4A">
              <w:rPr>
                <w:rFonts w:ascii="新細明體" w:eastAsia="新細明體" w:hAnsi="新細明體" w:cs="新細明體"/>
                <w:color w:val="000000" w:themeColor="text1"/>
              </w:rPr>
              <w:t>)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內同方向買進或賣出相同標的者，是否請其出具說明書說明原因後陳送其權責主管審核，並留存相關紀錄。</w:t>
            </w:r>
          </w:p>
          <w:p w14:paraId="1D56830C" w14:textId="02C60B9C" w:rsidR="00F30D4A" w:rsidRDefault="00F30D4A" w:rsidP="00B05862">
            <w:pPr>
              <w:pStyle w:val="ac"/>
              <w:numPr>
                <w:ilvl w:val="0"/>
                <w:numId w:val="17"/>
              </w:numPr>
              <w:adjustRightInd w:val="0"/>
              <w:spacing w:line="400" w:lineRule="exact"/>
              <w:ind w:leftChars="0"/>
              <w:textAlignment w:val="baseline"/>
              <w:rPr>
                <w:color w:val="000000" w:themeColor="text1"/>
              </w:rPr>
            </w:pPr>
            <w:r w:rsidRPr="00F30D4A">
              <w:rPr>
                <w:rFonts w:hint="eastAsia"/>
                <w:color w:val="000000" w:themeColor="text1"/>
              </w:rPr>
              <w:t>受託買賣業務人員、其配偶及未成年子女。</w:t>
            </w:r>
          </w:p>
          <w:p w14:paraId="1AEE2094" w14:textId="48681765" w:rsidR="00F30D4A" w:rsidRPr="00B05862" w:rsidRDefault="00B05862" w:rsidP="00B05862">
            <w:pPr>
              <w:pStyle w:val="ac"/>
              <w:numPr>
                <w:ilvl w:val="0"/>
                <w:numId w:val="17"/>
              </w:numPr>
              <w:adjustRightInd w:val="0"/>
              <w:spacing w:line="400" w:lineRule="exact"/>
              <w:ind w:leftChars="0"/>
              <w:textAlignment w:val="baseline"/>
              <w:rPr>
                <w:color w:val="000000" w:themeColor="text1"/>
              </w:rPr>
            </w:pPr>
            <w:r w:rsidRPr="00F30D4A">
              <w:rPr>
                <w:rFonts w:hint="eastAsia"/>
                <w:color w:val="000000" w:themeColor="text1"/>
              </w:rPr>
              <w:t>除受託買賣業務人員以外所有內部人員、其配偶及未成年子女。</w:t>
            </w:r>
          </w:p>
          <w:p w14:paraId="739C2F4B" w14:textId="66F054FD" w:rsidR="00482D0B" w:rsidRDefault="00482D0B" w:rsidP="00F30D4A">
            <w:pPr>
              <w:adjustRightInd w:val="0"/>
              <w:spacing w:line="400" w:lineRule="exact"/>
              <w:ind w:leftChars="1" w:left="415" w:hangingChars="143" w:hanging="412"/>
              <w:textAlignment w:val="baseline"/>
              <w:rPr>
                <w:rFonts w:ascii="新細明體" w:eastAsia="新細明體" w:hAnsi="新細明體" w:cs="Times New Roman"/>
                <w:color w:val="FF0000"/>
                <w:spacing w:val="24"/>
                <w:kern w:val="0"/>
                <w:u w:val="single"/>
              </w:rPr>
            </w:pPr>
            <w:r w:rsidRPr="00482D0B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</w:rPr>
              <w:t xml:space="preserve">  </w:t>
            </w:r>
            <w:r w:rsidRPr="0018245C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u w:val="single"/>
              </w:rPr>
              <w:t>前項內部人員之委託買賣</w:t>
            </w:r>
            <w:proofErr w:type="gramStart"/>
            <w:r w:rsidRPr="0018245C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u w:val="single"/>
              </w:rPr>
              <w:t>明細得排除</w:t>
            </w:r>
            <w:proofErr w:type="gramEnd"/>
            <w:r w:rsidRPr="0018245C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u w:val="single"/>
              </w:rPr>
              <w:t>下列標的或交易：</w:t>
            </w:r>
          </w:p>
          <w:p w14:paraId="3E0CFF32" w14:textId="04C622B2" w:rsidR="00482D0B" w:rsidRPr="00482D0B" w:rsidRDefault="00482D0B" w:rsidP="00BD4554">
            <w:pPr>
              <w:pStyle w:val="ac"/>
              <w:numPr>
                <w:ilvl w:val="0"/>
                <w:numId w:val="16"/>
              </w:numPr>
              <w:adjustRightInd w:val="0"/>
              <w:spacing w:line="400" w:lineRule="exact"/>
              <w:ind w:leftChars="0" w:left="748" w:hanging="357"/>
              <w:textAlignment w:val="baseline"/>
              <w:rPr>
                <w:color w:val="FF0000"/>
                <w:u w:val="single"/>
              </w:rPr>
            </w:pPr>
            <w:r w:rsidRPr="00482D0B">
              <w:rPr>
                <w:rFonts w:hint="eastAsia"/>
                <w:color w:val="FF0000"/>
                <w:u w:val="single"/>
              </w:rPr>
              <w:t>初次</w:t>
            </w:r>
            <w:proofErr w:type="gramStart"/>
            <w:r w:rsidRPr="00482D0B">
              <w:rPr>
                <w:rFonts w:hint="eastAsia"/>
                <w:color w:val="FF0000"/>
                <w:u w:val="single"/>
              </w:rPr>
              <w:t>上市櫃首五日</w:t>
            </w:r>
            <w:proofErr w:type="gramEnd"/>
            <w:r w:rsidRPr="00482D0B">
              <w:rPr>
                <w:rFonts w:hint="eastAsia"/>
                <w:color w:val="FF0000"/>
                <w:u w:val="single"/>
              </w:rPr>
              <w:t>無漲跌幅限制之股票。</w:t>
            </w:r>
          </w:p>
          <w:p w14:paraId="2CF96319" w14:textId="69A0C341" w:rsidR="00482D0B" w:rsidRPr="00482D0B" w:rsidRDefault="00482D0B" w:rsidP="00BD4554">
            <w:pPr>
              <w:pStyle w:val="ac"/>
              <w:numPr>
                <w:ilvl w:val="0"/>
                <w:numId w:val="16"/>
              </w:numPr>
              <w:adjustRightInd w:val="0"/>
              <w:spacing w:line="400" w:lineRule="exact"/>
              <w:ind w:leftChars="0" w:left="748" w:hanging="357"/>
              <w:textAlignment w:val="baseline"/>
              <w:rPr>
                <w:color w:val="FF0000"/>
              </w:rPr>
            </w:pPr>
            <w:r w:rsidRPr="0018245C">
              <w:rPr>
                <w:rFonts w:hint="eastAsia"/>
                <w:color w:val="FF0000"/>
                <w:u w:val="single"/>
              </w:rPr>
              <w:t>零股交易。</w:t>
            </w:r>
          </w:p>
          <w:p w14:paraId="576F79C4" w14:textId="0279588D" w:rsidR="00482D0B" w:rsidRPr="00482D0B" w:rsidRDefault="00482D0B" w:rsidP="00BD4554">
            <w:pPr>
              <w:pStyle w:val="ac"/>
              <w:numPr>
                <w:ilvl w:val="0"/>
                <w:numId w:val="16"/>
              </w:numPr>
              <w:adjustRightInd w:val="0"/>
              <w:spacing w:line="400" w:lineRule="exact"/>
              <w:ind w:leftChars="0" w:left="748" w:hanging="357"/>
              <w:textAlignment w:val="baseline"/>
              <w:rPr>
                <w:color w:val="FF0000"/>
              </w:rPr>
            </w:pPr>
            <w:r w:rsidRPr="0018245C">
              <w:rPr>
                <w:rFonts w:hint="eastAsia"/>
                <w:color w:val="FF0000"/>
                <w:u w:val="single"/>
              </w:rPr>
              <w:t>盤前預約單。</w:t>
            </w:r>
          </w:p>
          <w:p w14:paraId="0446C283" w14:textId="3DB6656D" w:rsidR="00482D0B" w:rsidRPr="00482D0B" w:rsidRDefault="00482D0B" w:rsidP="00BD4554">
            <w:pPr>
              <w:pStyle w:val="ac"/>
              <w:numPr>
                <w:ilvl w:val="0"/>
                <w:numId w:val="16"/>
              </w:numPr>
              <w:adjustRightInd w:val="0"/>
              <w:spacing w:line="400" w:lineRule="exact"/>
              <w:ind w:leftChars="0" w:left="748" w:hanging="357"/>
              <w:textAlignment w:val="baseline"/>
              <w:rPr>
                <w:color w:val="FF0000"/>
              </w:rPr>
            </w:pPr>
            <w:r w:rsidRPr="0018245C">
              <w:rPr>
                <w:rFonts w:hint="eastAsia"/>
                <w:color w:val="FF0000"/>
                <w:u w:val="single"/>
              </w:rPr>
              <w:lastRenderedPageBreak/>
              <w:t>盤後定價交易。</w:t>
            </w:r>
          </w:p>
          <w:p w14:paraId="195DD5F3" w14:textId="70248FAF" w:rsidR="00482D0B" w:rsidRPr="00482D0B" w:rsidRDefault="00482D0B" w:rsidP="00BD4554">
            <w:pPr>
              <w:pStyle w:val="ac"/>
              <w:numPr>
                <w:ilvl w:val="0"/>
                <w:numId w:val="16"/>
              </w:numPr>
              <w:adjustRightInd w:val="0"/>
              <w:spacing w:line="400" w:lineRule="exact"/>
              <w:ind w:leftChars="0" w:left="748" w:hanging="357"/>
              <w:textAlignment w:val="baseline"/>
              <w:rPr>
                <w:color w:val="FF0000"/>
              </w:rPr>
            </w:pPr>
            <w:r w:rsidRPr="0018245C">
              <w:rPr>
                <w:rFonts w:hint="eastAsia"/>
                <w:color w:val="FF0000"/>
                <w:u w:val="single"/>
              </w:rPr>
              <w:t>早於客戶電子委託下單時間之委託。</w:t>
            </w:r>
          </w:p>
          <w:p w14:paraId="3C64909A" w14:textId="2E92FE98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</w:t>
            </w:r>
            <w:r>
              <w:rPr>
                <w:rFonts w:ascii="新細明體" w:eastAsia="新細明體" w:hAnsi="新細明體" w:cs="新細明體"/>
                <w:color w:val="000000" w:themeColor="text1"/>
              </w:rPr>
              <w:t xml:space="preserve">  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發現有利益衝突情事者，是否依公司相關規定予以處置。</w:t>
            </w:r>
          </w:p>
          <w:p w14:paraId="790C3EAE" w14:textId="77777777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</w:t>
            </w:r>
            <w:r>
              <w:rPr>
                <w:rFonts w:ascii="新細明體" w:eastAsia="新細明體" w:hAnsi="新細明體" w:cs="新細明體"/>
                <w:color w:val="000000" w:themeColor="text1"/>
              </w:rPr>
              <w:t xml:space="preserve">  4.</w:t>
            </w:r>
            <w:r w:rsidRPr="002B7BFE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（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以下</w:t>
            </w:r>
            <w:r w:rsidRPr="002B7BFE"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略</w:t>
            </w:r>
            <w:r w:rsidRPr="002B7BFE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）</w:t>
            </w:r>
          </w:p>
          <w:p w14:paraId="200CAA9A" w14:textId="04316D86" w:rsidR="00736842" w:rsidRPr="00F30D4A" w:rsidRDefault="00736842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20F9878D" w14:textId="77777777" w:rsidR="00350D20" w:rsidRPr="00F30D4A" w:rsidRDefault="00350D20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lastRenderedPageBreak/>
              <w:t>作業週期：不定期（每週至少查核乙次）</w:t>
            </w:r>
          </w:p>
          <w:p w14:paraId="3EC57A96" w14:textId="59AE89CA" w:rsidR="00235FE6" w:rsidRPr="00235FE6" w:rsidRDefault="00235FE6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>(</w:t>
            </w:r>
            <w:r w:rsidR="00F30D4A">
              <w:rPr>
                <w:rFonts w:ascii="新細明體" w:eastAsia="新細明體" w:hAnsi="新細明體" w:cs="新細明體" w:hint="eastAsia"/>
                <w:color w:val="000000" w:themeColor="text1"/>
              </w:rPr>
              <w:t>五</w:t>
            </w: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>)</w:t>
            </w:r>
            <w:r w:rsidR="00F30D4A"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內部人員交易：</w:t>
            </w:r>
          </w:p>
          <w:p w14:paraId="3E25A073" w14:textId="38DFCB9C" w:rsidR="00F30D4A" w:rsidRDefault="00235FE6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</w:pPr>
            <w:r w:rsidRPr="00235FE6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</w:t>
            </w:r>
            <w:r w:rsidR="00F30D4A" w:rsidRPr="006931F3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1.</w:t>
            </w:r>
            <w:r w:rsidR="00F30D4A"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-2.</w:t>
            </w:r>
            <w:r w:rsidR="00F30D4A" w:rsidRPr="002B7BFE"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略</w:t>
            </w:r>
          </w:p>
          <w:p w14:paraId="7C92EE45" w14:textId="76922714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3.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公司是否指定專人每日分別檢視當日下列內部人員(含總分公司)之買賣明細及其權責可知悉客戶之委託買賣明細，以瞭解內部人員有無利用職務知悉之消息而發生利益衝突之情事，如有於短時間(</w:t>
            </w:r>
            <w:r w:rsidRPr="00F30D4A">
              <w:rPr>
                <w:rFonts w:ascii="新細明體" w:eastAsia="新細明體" w:hAnsi="新細明體" w:cs="新細明體"/>
                <w:color w:val="000000" w:themeColor="text1"/>
              </w:rPr>
              <w:t>5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分鐘</w:t>
            </w:r>
            <w:r w:rsidRPr="00F30D4A">
              <w:rPr>
                <w:rFonts w:ascii="新細明體" w:eastAsia="新細明體" w:hAnsi="新細明體" w:cs="新細明體"/>
                <w:color w:val="000000" w:themeColor="text1"/>
              </w:rPr>
              <w:t>)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內同方向買進或賣出相同標的者，是否請其出具說明書說明原因後陳送其權責主管審核，並留存相關紀錄。</w:t>
            </w:r>
          </w:p>
          <w:p w14:paraId="5FF21FFA" w14:textId="3ACE4CEF" w:rsidR="00F30D4A" w:rsidRDefault="00F30D4A" w:rsidP="00B05862">
            <w:pPr>
              <w:pStyle w:val="ac"/>
              <w:numPr>
                <w:ilvl w:val="0"/>
                <w:numId w:val="18"/>
              </w:numPr>
              <w:adjustRightInd w:val="0"/>
              <w:spacing w:line="400" w:lineRule="exact"/>
              <w:ind w:leftChars="0"/>
              <w:textAlignment w:val="baseline"/>
              <w:rPr>
                <w:color w:val="000000" w:themeColor="text1"/>
              </w:rPr>
            </w:pPr>
            <w:r w:rsidRPr="00F30D4A">
              <w:rPr>
                <w:rFonts w:hint="eastAsia"/>
                <w:color w:val="000000" w:themeColor="text1"/>
              </w:rPr>
              <w:t>受託買賣業務人員、其配偶及未成年子女。</w:t>
            </w:r>
          </w:p>
          <w:p w14:paraId="176A4013" w14:textId="7D4F0797" w:rsidR="00B05862" w:rsidRDefault="00B05862" w:rsidP="00B05862">
            <w:pPr>
              <w:pStyle w:val="ac"/>
              <w:numPr>
                <w:ilvl w:val="0"/>
                <w:numId w:val="18"/>
              </w:numPr>
              <w:adjustRightInd w:val="0"/>
              <w:spacing w:line="400" w:lineRule="exact"/>
              <w:ind w:leftChars="0"/>
              <w:textAlignment w:val="baseline"/>
              <w:rPr>
                <w:color w:val="000000" w:themeColor="text1"/>
              </w:rPr>
            </w:pPr>
            <w:r w:rsidRPr="00F30D4A">
              <w:rPr>
                <w:rFonts w:hint="eastAsia"/>
                <w:color w:val="000000" w:themeColor="text1"/>
              </w:rPr>
              <w:t>除受託買賣業務人員以外所有內部人員、其配偶及未成年子女。</w:t>
            </w:r>
          </w:p>
          <w:p w14:paraId="432DD9F3" w14:textId="2157D2B7" w:rsidR="00BD4554" w:rsidRDefault="00B05862" w:rsidP="00F30D4A">
            <w:pPr>
              <w:adjustRightInd w:val="0"/>
              <w:spacing w:line="400" w:lineRule="exact"/>
              <w:ind w:leftChars="1" w:left="415" w:hangingChars="143" w:hanging="41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18245C">
              <w:rPr>
                <w:rFonts w:ascii="新細明體" w:eastAsia="新細明體" w:hAnsi="新細明體" w:cs="Times New Roman"/>
                <w:color w:val="FF0000"/>
                <w:spacing w:val="24"/>
                <w:kern w:val="0"/>
                <w:szCs w:val="20"/>
              </w:rPr>
              <w:t>（</w:t>
            </w:r>
            <w:r w:rsidRPr="0018245C">
              <w:rPr>
                <w:rFonts w:ascii="新細明體" w:eastAsia="新細明體" w:hAnsi="新細明體" w:cs="Times New Roman" w:hint="eastAsia"/>
                <w:color w:val="FF0000"/>
                <w:spacing w:val="24"/>
                <w:kern w:val="0"/>
                <w:szCs w:val="20"/>
              </w:rPr>
              <w:t>新增</w:t>
            </w:r>
            <w:r w:rsidRPr="0018245C">
              <w:rPr>
                <w:rFonts w:ascii="新細明體" w:eastAsia="新細明體" w:hAnsi="新細明體" w:cs="Times New Roman"/>
                <w:color w:val="FF0000"/>
                <w:spacing w:val="24"/>
                <w:kern w:val="0"/>
                <w:szCs w:val="20"/>
              </w:rPr>
              <w:t>）</w:t>
            </w:r>
          </w:p>
          <w:p w14:paraId="5345383D" w14:textId="778AC098" w:rsidR="00B05862" w:rsidRDefault="00B05862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210B7477" w14:textId="77777777" w:rsidR="00B05862" w:rsidRDefault="00B05862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64323E4B" w14:textId="0FB6F2EF" w:rsidR="00BD4554" w:rsidRDefault="00BD4554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78927531" w14:textId="3B02187C" w:rsidR="00BD4554" w:rsidRDefault="00BD4554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5A721115" w14:textId="03890FD6" w:rsidR="00BD4554" w:rsidRDefault="00BD4554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4EB10F17" w14:textId="77777777" w:rsidR="00BD4554" w:rsidRPr="00F30D4A" w:rsidRDefault="00BD4554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  <w:p w14:paraId="5223F3E3" w14:textId="7174C9CF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</w:t>
            </w:r>
            <w:r>
              <w:rPr>
                <w:rFonts w:ascii="新細明體" w:eastAsia="新細明體" w:hAnsi="新細明體" w:cs="新細明體"/>
                <w:color w:val="000000" w:themeColor="text1"/>
              </w:rPr>
              <w:t xml:space="preserve">  </w:t>
            </w:r>
            <w:r w:rsidRPr="00F30D4A">
              <w:rPr>
                <w:rFonts w:ascii="新細明體" w:eastAsia="新細明體" w:hAnsi="新細明體" w:cs="新細明體" w:hint="eastAsia"/>
                <w:color w:val="000000" w:themeColor="text1"/>
              </w:rPr>
              <w:t>發現有利益衝突情事者，是否依公司相關規定予以處置。</w:t>
            </w:r>
          </w:p>
          <w:p w14:paraId="538C1356" w14:textId="5CF3E259" w:rsidR="00F30D4A" w:rsidRDefault="00F30D4A" w:rsidP="00F30D4A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</w:t>
            </w:r>
            <w:r>
              <w:rPr>
                <w:rFonts w:ascii="新細明體" w:eastAsia="新細明體" w:hAnsi="新細明體" w:cs="新細明體"/>
                <w:color w:val="000000" w:themeColor="text1"/>
              </w:rPr>
              <w:t xml:space="preserve">  4.</w:t>
            </w:r>
            <w:r w:rsidRPr="002B7BFE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（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以下</w:t>
            </w:r>
            <w:r w:rsidRPr="002B7BFE">
              <w:rPr>
                <w:rFonts w:ascii="新細明體" w:eastAsia="新細明體" w:hAnsi="新細明體" w:cs="Times New Roman" w:hint="eastAsia"/>
                <w:color w:val="000000"/>
                <w:spacing w:val="24"/>
                <w:kern w:val="0"/>
                <w:szCs w:val="20"/>
              </w:rPr>
              <w:t>略</w:t>
            </w:r>
            <w:r w:rsidRPr="002B7BFE">
              <w:rPr>
                <w:rFonts w:ascii="新細明體" w:eastAsia="新細明體" w:hAnsi="新細明體" w:cs="Times New Roman"/>
                <w:color w:val="000000"/>
                <w:spacing w:val="24"/>
                <w:kern w:val="0"/>
                <w:szCs w:val="20"/>
              </w:rPr>
              <w:t>）</w:t>
            </w:r>
          </w:p>
          <w:p w14:paraId="4B8B5DE1" w14:textId="218C28D0" w:rsidR="00BE49F7" w:rsidRPr="00F30D4A" w:rsidRDefault="00BE49F7" w:rsidP="00F30D4A">
            <w:pPr>
              <w:adjustRightInd w:val="0"/>
              <w:spacing w:line="400" w:lineRule="exact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293F2F21" w14:textId="49A65075" w:rsidR="00DA6189" w:rsidRPr="00235FE6" w:rsidRDefault="00F30D4A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  <w:r w:rsidRPr="008F1B2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lastRenderedPageBreak/>
              <w:t>配合內部控制制度CA-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11</w:t>
            </w:r>
            <w:r w:rsidRPr="00032C3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2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</w:t>
            </w:r>
            <w:r w:rsidRPr="00032C3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0之修訂，並同時修訂查核明細表</w:t>
            </w:r>
            <w:r w:rsidR="00BF753B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。</w:t>
            </w:r>
          </w:p>
          <w:p w14:paraId="18815BDE" w14:textId="35AE1AAE" w:rsidR="00DA6189" w:rsidRPr="00235FE6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</w:p>
          <w:p w14:paraId="7342668A" w14:textId="5564BA76" w:rsidR="00DA6189" w:rsidRPr="00235FE6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</w:p>
          <w:p w14:paraId="1452244D" w14:textId="2E4752E0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014317FF" w14:textId="05FC4318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39A69EB3" w14:textId="48231A18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3FFE97D1" w14:textId="4F7DB622" w:rsidR="00736842" w:rsidRPr="00825D4A" w:rsidRDefault="00736842" w:rsidP="00235FE6">
            <w:pPr>
              <w:spacing w:line="400" w:lineRule="exact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</w:tc>
      </w:tr>
    </w:tbl>
    <w:p w14:paraId="661CBD31" w14:textId="77777777" w:rsidR="0012263C" w:rsidRDefault="0012263C" w:rsidP="00013262">
      <w:pPr>
        <w:pStyle w:val="1"/>
        <w:spacing w:line="400" w:lineRule="exact"/>
        <w:jc w:val="both"/>
        <w:rPr>
          <w:rFonts w:ascii="新細明體" w:eastAsia="新細明體" w:cs="新細明體"/>
          <w:color w:val="000000"/>
        </w:rPr>
      </w:pPr>
    </w:p>
    <w:sectPr w:rsidR="0012263C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48345" w14:textId="77777777" w:rsidR="00443CCD" w:rsidRDefault="00443CCD" w:rsidP="00E87601">
      <w:pPr>
        <w:spacing w:line="240" w:lineRule="auto"/>
      </w:pPr>
      <w:r>
        <w:separator/>
      </w:r>
    </w:p>
  </w:endnote>
  <w:endnote w:type="continuationSeparator" w:id="0">
    <w:p w14:paraId="5B428294" w14:textId="77777777" w:rsidR="00443CCD" w:rsidRDefault="00443CCD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D6276" w14:textId="5DBD584D" w:rsidR="00C66564" w:rsidRDefault="00C665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A5E50" w:rsidRPr="008A5E50">
      <w:rPr>
        <w:noProof/>
        <w:lang w:val="zh-TW"/>
      </w:rPr>
      <w:t>1</w:t>
    </w:r>
    <w:r>
      <w:fldChar w:fldCharType="end"/>
    </w:r>
  </w:p>
  <w:p w14:paraId="62E727B9" w14:textId="77777777" w:rsidR="00C66564" w:rsidRDefault="00C665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8B817" w14:textId="77777777" w:rsidR="00443CCD" w:rsidRDefault="00443CCD" w:rsidP="00E87601">
      <w:pPr>
        <w:spacing w:line="240" w:lineRule="auto"/>
      </w:pPr>
      <w:r>
        <w:separator/>
      </w:r>
    </w:p>
  </w:footnote>
  <w:footnote w:type="continuationSeparator" w:id="0">
    <w:p w14:paraId="3E6D8C3E" w14:textId="77777777" w:rsidR="00443CCD" w:rsidRDefault="00443CCD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DB74C1F"/>
    <w:multiLevelType w:val="hybridMultilevel"/>
    <w:tmpl w:val="0D362FFA"/>
    <w:lvl w:ilvl="0" w:tplc="E4F06FF8">
      <w:start w:val="1"/>
      <w:numFmt w:val="decimal"/>
      <w:lvlText w:val="(%1)"/>
      <w:lvlJc w:val="left"/>
      <w:pPr>
        <w:ind w:left="750" w:hanging="360"/>
      </w:pPr>
      <w:rPr>
        <w:rFonts w:cs="新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8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9" w15:restartNumberingAfterBreak="0">
    <w:nsid w:val="402D36BA"/>
    <w:multiLevelType w:val="hybridMultilevel"/>
    <w:tmpl w:val="0D362FFA"/>
    <w:lvl w:ilvl="0" w:tplc="E4F06FF8">
      <w:start w:val="1"/>
      <w:numFmt w:val="decimal"/>
      <w:lvlText w:val="(%1)"/>
      <w:lvlJc w:val="left"/>
      <w:pPr>
        <w:ind w:left="750" w:hanging="360"/>
      </w:pPr>
      <w:rPr>
        <w:rFonts w:cs="新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10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1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2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3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EA0608"/>
    <w:multiLevelType w:val="hybridMultilevel"/>
    <w:tmpl w:val="0D362FFA"/>
    <w:lvl w:ilvl="0" w:tplc="E4F06FF8">
      <w:start w:val="1"/>
      <w:numFmt w:val="decimal"/>
      <w:lvlText w:val="(%1)"/>
      <w:lvlJc w:val="left"/>
      <w:pPr>
        <w:ind w:left="750" w:hanging="360"/>
      </w:pPr>
      <w:rPr>
        <w:rFonts w:cs="新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16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7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5"/>
  </w:num>
  <w:num w:numId="7">
    <w:abstractNumId w:val="13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14"/>
  </w:num>
  <w:num w:numId="14">
    <w:abstractNumId w:val="17"/>
  </w:num>
  <w:num w:numId="15">
    <w:abstractNumId w:val="10"/>
  </w:num>
  <w:num w:numId="16">
    <w:abstractNumId w:val="9"/>
  </w:num>
  <w:num w:numId="17">
    <w:abstractNumId w:val="15"/>
  </w:num>
  <w:num w:numId="1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B23"/>
    <w:rsid w:val="00010CB6"/>
    <w:rsid w:val="00013262"/>
    <w:rsid w:val="00017568"/>
    <w:rsid w:val="000178B1"/>
    <w:rsid w:val="00026815"/>
    <w:rsid w:val="00027C25"/>
    <w:rsid w:val="00030C6E"/>
    <w:rsid w:val="00031C25"/>
    <w:rsid w:val="00032BD7"/>
    <w:rsid w:val="00032FDF"/>
    <w:rsid w:val="000362FC"/>
    <w:rsid w:val="00043631"/>
    <w:rsid w:val="0004440E"/>
    <w:rsid w:val="00044EBF"/>
    <w:rsid w:val="0004617E"/>
    <w:rsid w:val="0004695F"/>
    <w:rsid w:val="00046CA7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D2915"/>
    <w:rsid w:val="000D6958"/>
    <w:rsid w:val="000E2DE4"/>
    <w:rsid w:val="000F13A6"/>
    <w:rsid w:val="000F513D"/>
    <w:rsid w:val="001078B4"/>
    <w:rsid w:val="00107B1D"/>
    <w:rsid w:val="001117C9"/>
    <w:rsid w:val="00112B23"/>
    <w:rsid w:val="00114A0E"/>
    <w:rsid w:val="001222CF"/>
    <w:rsid w:val="0012263C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782A"/>
    <w:rsid w:val="001811AA"/>
    <w:rsid w:val="001812B0"/>
    <w:rsid w:val="001833E6"/>
    <w:rsid w:val="00191618"/>
    <w:rsid w:val="00193D1E"/>
    <w:rsid w:val="0019755E"/>
    <w:rsid w:val="001A2F38"/>
    <w:rsid w:val="001A4ADE"/>
    <w:rsid w:val="001A760E"/>
    <w:rsid w:val="001A79D9"/>
    <w:rsid w:val="001B0C6E"/>
    <w:rsid w:val="001B44A8"/>
    <w:rsid w:val="001B4E9C"/>
    <w:rsid w:val="001B57FF"/>
    <w:rsid w:val="001B622E"/>
    <w:rsid w:val="001B6D44"/>
    <w:rsid w:val="001D4693"/>
    <w:rsid w:val="001D6058"/>
    <w:rsid w:val="001D61AB"/>
    <w:rsid w:val="001D6BE8"/>
    <w:rsid w:val="001E1858"/>
    <w:rsid w:val="001E25C6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160C"/>
    <w:rsid w:val="002524AF"/>
    <w:rsid w:val="00254455"/>
    <w:rsid w:val="0025567C"/>
    <w:rsid w:val="00256AEE"/>
    <w:rsid w:val="002610AF"/>
    <w:rsid w:val="0026110A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45586"/>
    <w:rsid w:val="00350D20"/>
    <w:rsid w:val="00352C65"/>
    <w:rsid w:val="0035622D"/>
    <w:rsid w:val="00357C05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86799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D4D"/>
    <w:rsid w:val="0040158E"/>
    <w:rsid w:val="00403961"/>
    <w:rsid w:val="00405FFF"/>
    <w:rsid w:val="00406CB7"/>
    <w:rsid w:val="00410EC1"/>
    <w:rsid w:val="00414B70"/>
    <w:rsid w:val="0042154A"/>
    <w:rsid w:val="004221E2"/>
    <w:rsid w:val="00423CD2"/>
    <w:rsid w:val="00431D1A"/>
    <w:rsid w:val="0043269E"/>
    <w:rsid w:val="00433189"/>
    <w:rsid w:val="004343B9"/>
    <w:rsid w:val="004424BA"/>
    <w:rsid w:val="004436D0"/>
    <w:rsid w:val="00443CCD"/>
    <w:rsid w:val="00455EE4"/>
    <w:rsid w:val="00456185"/>
    <w:rsid w:val="00465968"/>
    <w:rsid w:val="004711EF"/>
    <w:rsid w:val="004747CB"/>
    <w:rsid w:val="00475D2E"/>
    <w:rsid w:val="00482D0B"/>
    <w:rsid w:val="00483C99"/>
    <w:rsid w:val="004840B1"/>
    <w:rsid w:val="00484363"/>
    <w:rsid w:val="0048503A"/>
    <w:rsid w:val="00486727"/>
    <w:rsid w:val="004907FB"/>
    <w:rsid w:val="0049343A"/>
    <w:rsid w:val="004A2034"/>
    <w:rsid w:val="004A4139"/>
    <w:rsid w:val="004A5B5A"/>
    <w:rsid w:val="004A6922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14F14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6A9E"/>
    <w:rsid w:val="0058765A"/>
    <w:rsid w:val="00592F6C"/>
    <w:rsid w:val="00593018"/>
    <w:rsid w:val="005A4042"/>
    <w:rsid w:val="005A4F47"/>
    <w:rsid w:val="005B0533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84635"/>
    <w:rsid w:val="00687189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2D4D"/>
    <w:rsid w:val="00713562"/>
    <w:rsid w:val="00716E9A"/>
    <w:rsid w:val="00721D74"/>
    <w:rsid w:val="00724714"/>
    <w:rsid w:val="00727059"/>
    <w:rsid w:val="0073000E"/>
    <w:rsid w:val="007323BD"/>
    <w:rsid w:val="0073332B"/>
    <w:rsid w:val="0073570A"/>
    <w:rsid w:val="0073647F"/>
    <w:rsid w:val="00736842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8003D1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A0AF3"/>
    <w:rsid w:val="008A0C6F"/>
    <w:rsid w:val="008A2A92"/>
    <w:rsid w:val="008A5E50"/>
    <w:rsid w:val="008A767E"/>
    <w:rsid w:val="008B6E4A"/>
    <w:rsid w:val="008C05CA"/>
    <w:rsid w:val="008C3973"/>
    <w:rsid w:val="008C7FBC"/>
    <w:rsid w:val="008D0810"/>
    <w:rsid w:val="008D6BAF"/>
    <w:rsid w:val="008D799D"/>
    <w:rsid w:val="008E0A6F"/>
    <w:rsid w:val="008E25A7"/>
    <w:rsid w:val="008E2A1D"/>
    <w:rsid w:val="008E2E82"/>
    <w:rsid w:val="008F4D59"/>
    <w:rsid w:val="008F70AD"/>
    <w:rsid w:val="009033BA"/>
    <w:rsid w:val="0090478C"/>
    <w:rsid w:val="00907BB3"/>
    <w:rsid w:val="00910745"/>
    <w:rsid w:val="009130F9"/>
    <w:rsid w:val="00916AB3"/>
    <w:rsid w:val="00921D1D"/>
    <w:rsid w:val="009261D6"/>
    <w:rsid w:val="009343D4"/>
    <w:rsid w:val="009427C2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80827"/>
    <w:rsid w:val="0098364A"/>
    <w:rsid w:val="009868D0"/>
    <w:rsid w:val="009902CE"/>
    <w:rsid w:val="009924E3"/>
    <w:rsid w:val="00993DAF"/>
    <w:rsid w:val="009A0358"/>
    <w:rsid w:val="009A0DB4"/>
    <w:rsid w:val="009A1E98"/>
    <w:rsid w:val="009B2F66"/>
    <w:rsid w:val="009B3DE1"/>
    <w:rsid w:val="009C0BBA"/>
    <w:rsid w:val="009C424A"/>
    <w:rsid w:val="009C52D2"/>
    <w:rsid w:val="009C7BF7"/>
    <w:rsid w:val="009E0B19"/>
    <w:rsid w:val="009E2021"/>
    <w:rsid w:val="009E2E5E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21F6D"/>
    <w:rsid w:val="00A260B3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F7C"/>
    <w:rsid w:val="00A71F6C"/>
    <w:rsid w:val="00A839A1"/>
    <w:rsid w:val="00A86CE8"/>
    <w:rsid w:val="00A87B95"/>
    <w:rsid w:val="00A923A6"/>
    <w:rsid w:val="00A94B9C"/>
    <w:rsid w:val="00A96B4F"/>
    <w:rsid w:val="00AA2360"/>
    <w:rsid w:val="00AA3A8F"/>
    <w:rsid w:val="00AA3AC9"/>
    <w:rsid w:val="00AA6F1A"/>
    <w:rsid w:val="00AB2969"/>
    <w:rsid w:val="00AB2E77"/>
    <w:rsid w:val="00AB3E4B"/>
    <w:rsid w:val="00AB474B"/>
    <w:rsid w:val="00AC2DA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491"/>
    <w:rsid w:val="00AD7EBC"/>
    <w:rsid w:val="00AE447D"/>
    <w:rsid w:val="00AE4D3F"/>
    <w:rsid w:val="00AF00B2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5862"/>
    <w:rsid w:val="00B07AA9"/>
    <w:rsid w:val="00B1728D"/>
    <w:rsid w:val="00B23359"/>
    <w:rsid w:val="00B23F46"/>
    <w:rsid w:val="00B2456B"/>
    <w:rsid w:val="00B24B03"/>
    <w:rsid w:val="00B268F1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6E33"/>
    <w:rsid w:val="00B961E6"/>
    <w:rsid w:val="00B9690F"/>
    <w:rsid w:val="00B97194"/>
    <w:rsid w:val="00BA198A"/>
    <w:rsid w:val="00BA216D"/>
    <w:rsid w:val="00BA49F8"/>
    <w:rsid w:val="00BA500E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73EE"/>
    <w:rsid w:val="00BC7726"/>
    <w:rsid w:val="00BC775A"/>
    <w:rsid w:val="00BD0E46"/>
    <w:rsid w:val="00BD2132"/>
    <w:rsid w:val="00BD3277"/>
    <w:rsid w:val="00BD4554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A7DCC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40E63"/>
    <w:rsid w:val="00D41771"/>
    <w:rsid w:val="00D47C43"/>
    <w:rsid w:val="00D531AA"/>
    <w:rsid w:val="00D557D3"/>
    <w:rsid w:val="00D6022D"/>
    <w:rsid w:val="00D62B63"/>
    <w:rsid w:val="00D6434B"/>
    <w:rsid w:val="00D65981"/>
    <w:rsid w:val="00D73D69"/>
    <w:rsid w:val="00D74033"/>
    <w:rsid w:val="00D74E0D"/>
    <w:rsid w:val="00D76C59"/>
    <w:rsid w:val="00D856E5"/>
    <w:rsid w:val="00D85B2E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5079"/>
    <w:rsid w:val="00DB6523"/>
    <w:rsid w:val="00DC0671"/>
    <w:rsid w:val="00DC1157"/>
    <w:rsid w:val="00DC208A"/>
    <w:rsid w:val="00DC3FD4"/>
    <w:rsid w:val="00DC6F99"/>
    <w:rsid w:val="00DC7198"/>
    <w:rsid w:val="00DD0847"/>
    <w:rsid w:val="00DD1F7E"/>
    <w:rsid w:val="00DD454F"/>
    <w:rsid w:val="00DD5668"/>
    <w:rsid w:val="00DE083E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6163"/>
    <w:rsid w:val="00E559CB"/>
    <w:rsid w:val="00E56131"/>
    <w:rsid w:val="00E563F7"/>
    <w:rsid w:val="00E6055D"/>
    <w:rsid w:val="00E728A4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3B4D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75F2"/>
    <w:rsid w:val="00ED7F9A"/>
    <w:rsid w:val="00EE696C"/>
    <w:rsid w:val="00EF11B3"/>
    <w:rsid w:val="00F03B14"/>
    <w:rsid w:val="00F074FE"/>
    <w:rsid w:val="00F07C93"/>
    <w:rsid w:val="00F10BA3"/>
    <w:rsid w:val="00F14277"/>
    <w:rsid w:val="00F22067"/>
    <w:rsid w:val="00F22955"/>
    <w:rsid w:val="00F23483"/>
    <w:rsid w:val="00F25463"/>
    <w:rsid w:val="00F30D4A"/>
    <w:rsid w:val="00F32B5E"/>
    <w:rsid w:val="00F33189"/>
    <w:rsid w:val="00F34091"/>
    <w:rsid w:val="00F36466"/>
    <w:rsid w:val="00F43806"/>
    <w:rsid w:val="00F439BF"/>
    <w:rsid w:val="00F4452A"/>
    <w:rsid w:val="00F47C31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ECCBE-9594-476E-8202-584BB033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曾黛華</cp:lastModifiedBy>
  <cp:revision>20</cp:revision>
  <cp:lastPrinted>2021-04-06T07:58:00Z</cp:lastPrinted>
  <dcterms:created xsi:type="dcterms:W3CDTF">2021-04-06T07:22:00Z</dcterms:created>
  <dcterms:modified xsi:type="dcterms:W3CDTF">2022-09-15T06:51:00Z</dcterms:modified>
</cp:coreProperties>
</file>