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C2622" w:rsidRPr="002A483C" w:rsidRDefault="00A51863" w:rsidP="000445FE">
      <w:pPr>
        <w:spacing w:line="300" w:lineRule="exact"/>
        <w:jc w:val="center"/>
        <w:rPr>
          <w:rFonts w:ascii="新細明體"/>
          <w:spacing w:val="24"/>
          <w:sz w:val="22"/>
          <w:szCs w:val="22"/>
        </w:rPr>
      </w:pPr>
      <w:r>
        <w:rPr>
          <w:noProof/>
        </w:rPr>
        <mc:AlternateContent>
          <mc:Choice Requires="wps">
            <w:drawing>
              <wp:anchor distT="0" distB="0" distL="114300" distR="114300" simplePos="0" relativeHeight="251658240" behindDoc="0" locked="0" layoutInCell="0" allowOverlap="1">
                <wp:simplePos x="0" y="0"/>
                <wp:positionH relativeFrom="column">
                  <wp:posOffset>76200</wp:posOffset>
                </wp:positionH>
                <wp:positionV relativeFrom="paragraph">
                  <wp:posOffset>103505</wp:posOffset>
                </wp:positionV>
                <wp:extent cx="2172335" cy="343535"/>
                <wp:effectExtent l="0" t="0" r="0" b="0"/>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72335" cy="343535"/>
                        </a:xfrm>
                        <a:prstGeom prst="rect">
                          <a:avLst/>
                        </a:prstGeom>
                        <a:noFill/>
                        <a:ln w="50800">
                          <a:solidFill>
                            <a:srgbClr val="FFFFFF"/>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FC2622" w:rsidRDefault="00FC2622">
                            <w:r>
                              <w:rPr>
                                <w:rFonts w:cs="新細明體" w:hint="eastAsia"/>
                              </w:rPr>
                              <w:t>作業週期：每週至少查核乙次</w:t>
                            </w:r>
                          </w:p>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6" style="position:absolute;left:0;text-align:left;margin-left:6pt;margin-top:8.15pt;width:171.05pt;height:27.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" o:allowincell="f" filled="f" strokecolor="white" strokeweight="4pt">
                <v:textbox inset="1pt,1pt,1pt,1pt">
                  <w:txbxContent>
                    <w:p w:rsidR="00FC2622" w:rsidRDefault="00FC2622">
                      <w:r>
                        <w:rPr>
                          <w:rFonts w:cs="新細明體" w:hint="eastAsia"/>
                        </w:rPr>
                        <w:t>作業週期：每週至少查核乙次</w:t>
                      </w:r>
                    </w:p>
                  </w:txbxContent>
                </v:textbox>
              </v:rect>
            </w:pict>
          </mc:Fallback>
        </mc:AlternateContent>
      </w:r>
      <w:r w:rsidR="00FC2622" w:rsidRPr="002A483C">
        <w:rPr>
          <w:rFonts w:cs="新細明體" w:hint="eastAsia"/>
          <w:spacing w:val="24"/>
        </w:rPr>
        <w:t xml:space="preserve">　　　　　　</w:t>
      </w:r>
      <w:r w:rsidR="00FC2622" w:rsidRPr="002A483C">
        <w:rPr>
          <w:rFonts w:ascii="新細明體" w:hAnsi="新細明體" w:cs="新細明體" w:hint="eastAsia"/>
          <w:spacing w:val="24"/>
          <w:sz w:val="22"/>
          <w:szCs w:val="22"/>
        </w:rPr>
        <w:t>證券股份有限公司</w:t>
      </w:r>
    </w:p>
    <w:p w:rsidR="00FC2622" w:rsidRPr="002A483C" w:rsidRDefault="00FC2622" w:rsidP="000445FE">
      <w:pPr>
        <w:spacing w:line="300" w:lineRule="exact"/>
        <w:jc w:val="center"/>
        <w:rPr>
          <w:rFonts w:ascii="新細明體"/>
          <w:spacing w:val="24"/>
          <w:sz w:val="22"/>
          <w:szCs w:val="22"/>
        </w:rPr>
      </w:pPr>
      <w:r w:rsidRPr="002A483C">
        <w:rPr>
          <w:rFonts w:ascii="新細明體" w:hAnsi="新細明體" w:cs="新細明體" w:hint="eastAsia"/>
          <w:sz w:val="22"/>
          <w:szCs w:val="22"/>
        </w:rPr>
        <w:t>業務及收入循環：經紀</w:t>
      </w:r>
      <w:r w:rsidRPr="002A483C">
        <w:rPr>
          <w:rFonts w:ascii="新細明體" w:hAnsi="新細明體"/>
          <w:sz w:val="22"/>
          <w:szCs w:val="22"/>
        </w:rPr>
        <w:t>(</w:t>
      </w:r>
      <w:r w:rsidRPr="002A483C">
        <w:rPr>
          <w:rFonts w:ascii="新細明體" w:hAnsi="新細明體" w:cs="新細明體" w:hint="eastAsia"/>
          <w:sz w:val="22"/>
          <w:szCs w:val="22"/>
        </w:rPr>
        <w:t>集中、櫃檯</w:t>
      </w:r>
      <w:r w:rsidRPr="002A483C">
        <w:rPr>
          <w:rFonts w:ascii="新細明體" w:hAnsi="新細明體"/>
          <w:sz w:val="22"/>
          <w:szCs w:val="22"/>
        </w:rPr>
        <w:t>)</w:t>
      </w:r>
    </w:p>
    <w:p w:rsidR="00FC2622" w:rsidRPr="002A483C" w:rsidRDefault="00FC2622" w:rsidP="000445FE">
      <w:pPr>
        <w:spacing w:line="300" w:lineRule="exact"/>
        <w:jc w:val="center"/>
        <w:rPr>
          <w:rFonts w:ascii="新細明體"/>
          <w:spacing w:val="24"/>
          <w:sz w:val="22"/>
          <w:szCs w:val="22"/>
        </w:rPr>
      </w:pPr>
      <w:r w:rsidRPr="002A483C">
        <w:rPr>
          <w:rFonts w:ascii="新細明體" w:hAnsi="新細明體" w:cs="新細明體" w:hint="eastAsia"/>
          <w:spacing w:val="60"/>
          <w:sz w:val="22"/>
          <w:szCs w:val="22"/>
        </w:rPr>
        <w:t>受託買賣交易查核明細表</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2008"/>
        <w:gridCol w:w="7915"/>
        <w:gridCol w:w="567"/>
        <w:gridCol w:w="567"/>
        <w:gridCol w:w="1134"/>
        <w:gridCol w:w="1985"/>
      </w:tblGrid>
      <w:tr w:rsidR="00FC2622" w:rsidRPr="002A483C" w:rsidTr="000445FE">
        <w:trPr>
          <w:cantSplit/>
          <w:trHeight w:val="305"/>
        </w:trPr>
        <w:tc>
          <w:tcPr>
            <w:tcW w:w="2008" w:type="dxa"/>
            <w:vMerge w:val="restart"/>
            <w:tcBorders>
              <w:top w:val="single" w:sz="12" w:space="0" w:color="auto"/>
              <w:left w:val="single" w:sz="12" w:space="0" w:color="auto"/>
            </w:tcBorders>
            <w:vAlign w:val="center"/>
          </w:tcPr>
          <w:p w:rsidR="00FC2622" w:rsidRPr="002A483C" w:rsidRDefault="00FC2622">
            <w:pPr>
              <w:jc w:val="center"/>
              <w:rPr>
                <w:sz w:val="22"/>
                <w:szCs w:val="22"/>
              </w:rPr>
            </w:pPr>
            <w:r w:rsidRPr="002A483C">
              <w:rPr>
                <w:rFonts w:cs="新細明體" w:hint="eastAsia"/>
                <w:sz w:val="22"/>
                <w:szCs w:val="22"/>
              </w:rPr>
              <w:t>項</w:t>
            </w:r>
            <w:r w:rsidRPr="002A483C">
              <w:rPr>
                <w:sz w:val="22"/>
                <w:szCs w:val="22"/>
              </w:rPr>
              <w:t xml:space="preserve">     </w:t>
            </w:r>
            <w:r w:rsidRPr="002A483C">
              <w:rPr>
                <w:rFonts w:cs="新細明體" w:hint="eastAsia"/>
                <w:sz w:val="22"/>
                <w:szCs w:val="22"/>
              </w:rPr>
              <w:t>目</w:t>
            </w:r>
          </w:p>
        </w:tc>
        <w:tc>
          <w:tcPr>
            <w:tcW w:w="7915" w:type="dxa"/>
            <w:vMerge w:val="restart"/>
            <w:tcBorders>
              <w:top w:val="single" w:sz="12" w:space="0" w:color="auto"/>
            </w:tcBorders>
            <w:vAlign w:val="center"/>
          </w:tcPr>
          <w:p w:rsidR="00FC2622" w:rsidRPr="002A483C" w:rsidRDefault="00FC2622">
            <w:pPr>
              <w:jc w:val="center"/>
              <w:rPr>
                <w:sz w:val="22"/>
                <w:szCs w:val="22"/>
              </w:rPr>
            </w:pPr>
            <w:r w:rsidRPr="002A483C">
              <w:rPr>
                <w:rFonts w:cs="新細明體" w:hint="eastAsia"/>
                <w:sz w:val="22"/>
                <w:szCs w:val="22"/>
              </w:rPr>
              <w:t>查</w:t>
            </w:r>
            <w:r w:rsidRPr="002A483C">
              <w:rPr>
                <w:sz w:val="22"/>
                <w:szCs w:val="22"/>
              </w:rPr>
              <w:t xml:space="preserve">          </w:t>
            </w:r>
            <w:r w:rsidRPr="002A483C">
              <w:rPr>
                <w:rFonts w:cs="新細明體" w:hint="eastAsia"/>
                <w:sz w:val="22"/>
                <w:szCs w:val="22"/>
              </w:rPr>
              <w:t>核</w:t>
            </w:r>
            <w:r w:rsidRPr="002A483C">
              <w:rPr>
                <w:sz w:val="22"/>
                <w:szCs w:val="22"/>
              </w:rPr>
              <w:t xml:space="preserve">          </w:t>
            </w:r>
            <w:r w:rsidRPr="002A483C">
              <w:rPr>
                <w:rFonts w:cs="新細明體" w:hint="eastAsia"/>
                <w:sz w:val="22"/>
                <w:szCs w:val="22"/>
              </w:rPr>
              <w:t>程</w:t>
            </w:r>
            <w:r w:rsidRPr="002A483C">
              <w:rPr>
                <w:sz w:val="22"/>
                <w:szCs w:val="22"/>
              </w:rPr>
              <w:t xml:space="preserve">          </w:t>
            </w:r>
            <w:r w:rsidRPr="002A483C">
              <w:rPr>
                <w:rFonts w:cs="新細明體" w:hint="eastAsia"/>
                <w:sz w:val="22"/>
                <w:szCs w:val="22"/>
              </w:rPr>
              <w:t>序</w:t>
            </w:r>
          </w:p>
        </w:tc>
        <w:tc>
          <w:tcPr>
            <w:tcW w:w="2268" w:type="dxa"/>
            <w:gridSpan w:val="3"/>
            <w:tcBorders>
              <w:top w:val="single" w:sz="12" w:space="0" w:color="auto"/>
            </w:tcBorders>
            <w:vAlign w:val="center"/>
          </w:tcPr>
          <w:p w:rsidR="00FC2622" w:rsidRPr="002A483C" w:rsidRDefault="00FC2622">
            <w:pPr>
              <w:jc w:val="center"/>
              <w:rPr>
                <w:spacing w:val="60"/>
                <w:sz w:val="22"/>
                <w:szCs w:val="22"/>
              </w:rPr>
            </w:pPr>
            <w:r w:rsidRPr="002A483C">
              <w:rPr>
                <w:rFonts w:cs="新細明體" w:hint="eastAsia"/>
                <w:spacing w:val="60"/>
                <w:sz w:val="22"/>
                <w:szCs w:val="22"/>
              </w:rPr>
              <w:t>查核結果</w:t>
            </w:r>
          </w:p>
        </w:tc>
        <w:tc>
          <w:tcPr>
            <w:tcW w:w="1985" w:type="dxa"/>
            <w:vMerge w:val="restart"/>
            <w:tcBorders>
              <w:top w:val="single" w:sz="12" w:space="0" w:color="auto"/>
              <w:right w:val="single" w:sz="12" w:space="0" w:color="auto"/>
            </w:tcBorders>
            <w:vAlign w:val="center"/>
          </w:tcPr>
          <w:p w:rsidR="00FC2622" w:rsidRPr="002A483C" w:rsidRDefault="00FC2622">
            <w:pPr>
              <w:jc w:val="center"/>
              <w:rPr>
                <w:sz w:val="22"/>
                <w:szCs w:val="22"/>
              </w:rPr>
            </w:pPr>
            <w:r w:rsidRPr="002A483C">
              <w:rPr>
                <w:rFonts w:cs="新細明體" w:hint="eastAsia"/>
                <w:spacing w:val="60"/>
                <w:sz w:val="22"/>
                <w:szCs w:val="22"/>
              </w:rPr>
              <w:t>底稿索引</w:t>
            </w:r>
          </w:p>
        </w:tc>
      </w:tr>
      <w:tr w:rsidR="00FC2622" w:rsidRPr="002A483C" w:rsidTr="000445FE">
        <w:trPr>
          <w:cantSplit/>
          <w:trHeight w:val="291"/>
        </w:trPr>
        <w:tc>
          <w:tcPr>
            <w:tcW w:w="2008" w:type="dxa"/>
            <w:vMerge/>
            <w:tcBorders>
              <w:left w:val="single" w:sz="12" w:space="0" w:color="auto"/>
            </w:tcBorders>
          </w:tcPr>
          <w:p w:rsidR="00FC2622" w:rsidRPr="002A483C" w:rsidRDefault="00FC2622"/>
        </w:tc>
        <w:tc>
          <w:tcPr>
            <w:tcW w:w="7915" w:type="dxa"/>
            <w:vMerge/>
          </w:tcPr>
          <w:p w:rsidR="00FC2622" w:rsidRPr="002A483C" w:rsidRDefault="00FC2622"/>
        </w:tc>
        <w:tc>
          <w:tcPr>
            <w:tcW w:w="567" w:type="dxa"/>
          </w:tcPr>
          <w:p w:rsidR="00FC2622" w:rsidRPr="002A483C" w:rsidRDefault="00FC2622">
            <w:pPr>
              <w:jc w:val="center"/>
              <w:rPr>
                <w:sz w:val="22"/>
                <w:szCs w:val="22"/>
              </w:rPr>
            </w:pPr>
            <w:r w:rsidRPr="002A483C">
              <w:rPr>
                <w:rFonts w:cs="新細明體" w:hint="eastAsia"/>
                <w:sz w:val="22"/>
                <w:szCs w:val="22"/>
              </w:rPr>
              <w:t>是</w:t>
            </w:r>
          </w:p>
        </w:tc>
        <w:tc>
          <w:tcPr>
            <w:tcW w:w="567" w:type="dxa"/>
          </w:tcPr>
          <w:p w:rsidR="00FC2622" w:rsidRPr="002A483C" w:rsidRDefault="00FC2622">
            <w:pPr>
              <w:jc w:val="center"/>
              <w:rPr>
                <w:sz w:val="22"/>
                <w:szCs w:val="22"/>
              </w:rPr>
            </w:pPr>
            <w:r w:rsidRPr="002A483C">
              <w:rPr>
                <w:rFonts w:cs="新細明體" w:hint="eastAsia"/>
                <w:sz w:val="22"/>
                <w:szCs w:val="22"/>
              </w:rPr>
              <w:t>否</w:t>
            </w:r>
          </w:p>
        </w:tc>
        <w:tc>
          <w:tcPr>
            <w:tcW w:w="1134" w:type="dxa"/>
          </w:tcPr>
          <w:p w:rsidR="00FC2622" w:rsidRPr="002A483C" w:rsidRDefault="00FC2622">
            <w:pPr>
              <w:jc w:val="center"/>
              <w:rPr>
                <w:sz w:val="22"/>
                <w:szCs w:val="22"/>
              </w:rPr>
            </w:pPr>
            <w:r w:rsidRPr="002A483C">
              <w:rPr>
                <w:rFonts w:cs="新細明體" w:hint="eastAsia"/>
                <w:sz w:val="22"/>
                <w:szCs w:val="22"/>
              </w:rPr>
              <w:t>不適用</w:t>
            </w:r>
          </w:p>
        </w:tc>
        <w:tc>
          <w:tcPr>
            <w:tcW w:w="1985" w:type="dxa"/>
            <w:vMerge/>
            <w:tcBorders>
              <w:right w:val="single" w:sz="12" w:space="0" w:color="auto"/>
            </w:tcBorders>
          </w:tcPr>
          <w:p w:rsidR="00FC2622" w:rsidRPr="002A483C" w:rsidRDefault="00FC2622"/>
        </w:tc>
      </w:tr>
      <w:tr w:rsidR="00FC2622" w:rsidRPr="002A483C" w:rsidTr="004F2206">
        <w:trPr>
          <w:trHeight w:val="7527"/>
        </w:trPr>
        <w:tc>
          <w:tcPr>
            <w:tcW w:w="2008" w:type="dxa"/>
            <w:tcBorders>
              <w:left w:val="single" w:sz="12" w:space="0" w:color="auto"/>
            </w:tcBorders>
          </w:tcPr>
          <w:p w:rsidR="00FC2622" w:rsidRDefault="00FC2622">
            <w:pPr>
              <w:spacing w:line="300" w:lineRule="exact"/>
              <w:jc w:val="both"/>
              <w:rPr>
                <w:rFonts w:cs="新細明體"/>
                <w:spacing w:val="12"/>
                <w:sz w:val="20"/>
                <w:szCs w:val="20"/>
              </w:rPr>
            </w:pPr>
            <w:r w:rsidRPr="006F4042">
              <w:rPr>
                <w:rFonts w:cs="新細明體" w:hint="eastAsia"/>
                <w:spacing w:val="12"/>
                <w:sz w:val="20"/>
                <w:szCs w:val="20"/>
              </w:rPr>
              <w:t>受託買賣及成交作業</w:t>
            </w:r>
          </w:p>
          <w:p w:rsidR="001E5DEC" w:rsidRDefault="001E5DEC">
            <w:pPr>
              <w:spacing w:line="300" w:lineRule="exact"/>
              <w:jc w:val="both"/>
              <w:rPr>
                <w:rFonts w:cs="新細明體"/>
                <w:spacing w:val="12"/>
                <w:sz w:val="20"/>
                <w:szCs w:val="20"/>
              </w:rPr>
            </w:pPr>
          </w:p>
          <w:p w:rsidR="001E5DEC" w:rsidRDefault="001E5DEC">
            <w:pPr>
              <w:spacing w:line="300" w:lineRule="exact"/>
              <w:jc w:val="both"/>
              <w:rPr>
                <w:rFonts w:cs="新細明體"/>
                <w:spacing w:val="12"/>
                <w:sz w:val="20"/>
                <w:szCs w:val="20"/>
              </w:rPr>
            </w:pPr>
          </w:p>
          <w:p w:rsidR="001E5DEC" w:rsidRDefault="001E5DEC">
            <w:pPr>
              <w:spacing w:line="300" w:lineRule="exact"/>
              <w:jc w:val="both"/>
              <w:rPr>
                <w:rFonts w:cs="新細明體"/>
                <w:spacing w:val="12"/>
                <w:sz w:val="20"/>
                <w:szCs w:val="20"/>
              </w:rPr>
            </w:pPr>
          </w:p>
          <w:p w:rsidR="001E5DEC" w:rsidRDefault="001E5DEC">
            <w:pPr>
              <w:spacing w:line="300" w:lineRule="exact"/>
              <w:jc w:val="both"/>
              <w:rPr>
                <w:rFonts w:cs="新細明體"/>
                <w:spacing w:val="12"/>
                <w:sz w:val="20"/>
                <w:szCs w:val="20"/>
              </w:rPr>
            </w:pPr>
          </w:p>
          <w:p w:rsidR="001E5DEC" w:rsidRDefault="001E5DEC">
            <w:pPr>
              <w:spacing w:line="300" w:lineRule="exact"/>
              <w:jc w:val="both"/>
              <w:rPr>
                <w:rFonts w:cs="新細明體"/>
                <w:spacing w:val="12"/>
                <w:sz w:val="20"/>
                <w:szCs w:val="20"/>
              </w:rPr>
            </w:pPr>
          </w:p>
          <w:p w:rsidR="001E5DEC" w:rsidRDefault="001E5DEC">
            <w:pPr>
              <w:spacing w:line="300" w:lineRule="exact"/>
              <w:jc w:val="both"/>
              <w:rPr>
                <w:rFonts w:cs="新細明體"/>
                <w:spacing w:val="12"/>
                <w:sz w:val="20"/>
                <w:szCs w:val="20"/>
              </w:rPr>
            </w:pPr>
          </w:p>
          <w:p w:rsidR="001E5DEC" w:rsidRDefault="001E5DEC">
            <w:pPr>
              <w:spacing w:line="300" w:lineRule="exact"/>
              <w:jc w:val="both"/>
              <w:rPr>
                <w:rFonts w:cs="新細明體"/>
                <w:spacing w:val="12"/>
                <w:sz w:val="20"/>
                <w:szCs w:val="20"/>
              </w:rPr>
            </w:pPr>
          </w:p>
          <w:p w:rsidR="001E5DEC" w:rsidRDefault="001E5DEC">
            <w:pPr>
              <w:spacing w:line="300" w:lineRule="exact"/>
              <w:jc w:val="both"/>
              <w:rPr>
                <w:rFonts w:cs="新細明體"/>
                <w:spacing w:val="12"/>
                <w:sz w:val="20"/>
                <w:szCs w:val="20"/>
              </w:rPr>
            </w:pPr>
          </w:p>
          <w:p w:rsidR="001E5DEC" w:rsidRDefault="001E5DEC">
            <w:pPr>
              <w:spacing w:line="300" w:lineRule="exact"/>
              <w:jc w:val="both"/>
              <w:rPr>
                <w:rFonts w:cs="新細明體"/>
                <w:spacing w:val="12"/>
                <w:sz w:val="20"/>
                <w:szCs w:val="20"/>
              </w:rPr>
            </w:pPr>
          </w:p>
          <w:p w:rsidR="001E5DEC" w:rsidRDefault="001E5DEC">
            <w:pPr>
              <w:spacing w:line="300" w:lineRule="exact"/>
              <w:jc w:val="both"/>
              <w:rPr>
                <w:rFonts w:cs="新細明體"/>
                <w:spacing w:val="12"/>
                <w:sz w:val="20"/>
                <w:szCs w:val="20"/>
              </w:rPr>
            </w:pPr>
          </w:p>
          <w:p w:rsidR="001E5DEC" w:rsidRDefault="001E5DEC">
            <w:pPr>
              <w:spacing w:line="300" w:lineRule="exact"/>
              <w:jc w:val="both"/>
              <w:rPr>
                <w:rFonts w:cs="新細明體"/>
                <w:spacing w:val="12"/>
                <w:sz w:val="20"/>
                <w:szCs w:val="20"/>
              </w:rPr>
            </w:pPr>
          </w:p>
          <w:p w:rsidR="001E5DEC" w:rsidRDefault="001E5DEC">
            <w:pPr>
              <w:spacing w:line="300" w:lineRule="exact"/>
              <w:jc w:val="both"/>
              <w:rPr>
                <w:rFonts w:cs="新細明體"/>
                <w:spacing w:val="12"/>
                <w:sz w:val="20"/>
                <w:szCs w:val="20"/>
              </w:rPr>
            </w:pPr>
          </w:p>
          <w:p w:rsidR="001E5DEC" w:rsidRDefault="001E5DEC">
            <w:pPr>
              <w:spacing w:line="300" w:lineRule="exact"/>
              <w:jc w:val="both"/>
              <w:rPr>
                <w:rFonts w:cs="新細明體"/>
                <w:spacing w:val="12"/>
                <w:sz w:val="20"/>
                <w:szCs w:val="20"/>
              </w:rPr>
            </w:pPr>
          </w:p>
          <w:p w:rsidR="001E5DEC" w:rsidRDefault="001E5DEC">
            <w:pPr>
              <w:spacing w:line="300" w:lineRule="exact"/>
              <w:jc w:val="both"/>
              <w:rPr>
                <w:rFonts w:cs="新細明體"/>
                <w:spacing w:val="12"/>
                <w:sz w:val="20"/>
                <w:szCs w:val="20"/>
              </w:rPr>
            </w:pPr>
          </w:p>
          <w:p w:rsidR="001E5DEC" w:rsidRDefault="001E5DEC">
            <w:pPr>
              <w:spacing w:line="300" w:lineRule="exact"/>
              <w:jc w:val="both"/>
              <w:rPr>
                <w:rFonts w:cs="新細明體"/>
                <w:spacing w:val="12"/>
                <w:sz w:val="20"/>
                <w:szCs w:val="20"/>
              </w:rPr>
            </w:pPr>
          </w:p>
          <w:p w:rsidR="001E5DEC" w:rsidRDefault="001E5DEC">
            <w:pPr>
              <w:spacing w:line="300" w:lineRule="exact"/>
              <w:jc w:val="both"/>
              <w:rPr>
                <w:rFonts w:cs="新細明體"/>
                <w:spacing w:val="12"/>
                <w:sz w:val="20"/>
                <w:szCs w:val="20"/>
              </w:rPr>
            </w:pPr>
          </w:p>
          <w:p w:rsidR="001E5DEC" w:rsidRDefault="001E5DEC">
            <w:pPr>
              <w:spacing w:line="300" w:lineRule="exact"/>
              <w:jc w:val="both"/>
              <w:rPr>
                <w:rFonts w:cs="新細明體"/>
                <w:spacing w:val="12"/>
                <w:sz w:val="20"/>
                <w:szCs w:val="20"/>
              </w:rPr>
            </w:pPr>
          </w:p>
          <w:p w:rsidR="001E5DEC" w:rsidRDefault="001E5DEC">
            <w:pPr>
              <w:spacing w:line="300" w:lineRule="exact"/>
              <w:jc w:val="both"/>
              <w:rPr>
                <w:rFonts w:cs="新細明體"/>
                <w:spacing w:val="12"/>
                <w:sz w:val="20"/>
                <w:szCs w:val="20"/>
              </w:rPr>
            </w:pPr>
          </w:p>
          <w:p w:rsidR="001E5DEC" w:rsidRDefault="001E5DEC">
            <w:pPr>
              <w:spacing w:line="300" w:lineRule="exact"/>
              <w:jc w:val="both"/>
              <w:rPr>
                <w:rFonts w:cs="新細明體"/>
                <w:spacing w:val="12"/>
                <w:sz w:val="20"/>
                <w:szCs w:val="20"/>
              </w:rPr>
            </w:pPr>
          </w:p>
          <w:p w:rsidR="001E5DEC" w:rsidRDefault="001E5DEC">
            <w:pPr>
              <w:spacing w:line="300" w:lineRule="exact"/>
              <w:jc w:val="both"/>
              <w:rPr>
                <w:rFonts w:cs="新細明體"/>
                <w:spacing w:val="12"/>
                <w:sz w:val="20"/>
                <w:szCs w:val="20"/>
              </w:rPr>
            </w:pPr>
          </w:p>
          <w:p w:rsidR="001E5DEC" w:rsidRDefault="001E5DEC">
            <w:pPr>
              <w:spacing w:line="300" w:lineRule="exact"/>
              <w:jc w:val="both"/>
              <w:rPr>
                <w:rFonts w:cs="新細明體"/>
                <w:spacing w:val="12"/>
                <w:sz w:val="20"/>
                <w:szCs w:val="20"/>
              </w:rPr>
            </w:pPr>
          </w:p>
          <w:p w:rsidR="001E5DEC" w:rsidRDefault="001E5DEC">
            <w:pPr>
              <w:spacing w:line="300" w:lineRule="exact"/>
              <w:jc w:val="both"/>
              <w:rPr>
                <w:rFonts w:cs="新細明體"/>
                <w:spacing w:val="12"/>
                <w:sz w:val="20"/>
                <w:szCs w:val="20"/>
              </w:rPr>
            </w:pPr>
          </w:p>
          <w:p w:rsidR="001E5DEC" w:rsidRDefault="001E5DEC">
            <w:pPr>
              <w:spacing w:line="300" w:lineRule="exact"/>
              <w:jc w:val="both"/>
              <w:rPr>
                <w:rFonts w:cs="新細明體"/>
                <w:spacing w:val="12"/>
                <w:sz w:val="20"/>
                <w:szCs w:val="20"/>
              </w:rPr>
            </w:pPr>
          </w:p>
          <w:p w:rsidR="001E5DEC" w:rsidRDefault="001E5DEC">
            <w:pPr>
              <w:spacing w:line="300" w:lineRule="exact"/>
              <w:jc w:val="both"/>
              <w:rPr>
                <w:rFonts w:cs="新細明體"/>
                <w:spacing w:val="12"/>
                <w:sz w:val="20"/>
                <w:szCs w:val="20"/>
              </w:rPr>
            </w:pPr>
          </w:p>
          <w:p w:rsidR="001E5DEC" w:rsidRDefault="001E5DEC">
            <w:pPr>
              <w:spacing w:line="300" w:lineRule="exact"/>
              <w:jc w:val="both"/>
              <w:rPr>
                <w:rFonts w:cs="新細明體"/>
                <w:spacing w:val="12"/>
                <w:sz w:val="20"/>
                <w:szCs w:val="20"/>
              </w:rPr>
            </w:pPr>
          </w:p>
          <w:p w:rsidR="001E5DEC" w:rsidRDefault="001E5DEC">
            <w:pPr>
              <w:spacing w:line="300" w:lineRule="exact"/>
              <w:jc w:val="both"/>
              <w:rPr>
                <w:rFonts w:cs="新細明體"/>
                <w:spacing w:val="12"/>
                <w:sz w:val="20"/>
                <w:szCs w:val="20"/>
              </w:rPr>
            </w:pPr>
          </w:p>
          <w:p w:rsidR="001E5DEC" w:rsidRDefault="001E5DEC">
            <w:pPr>
              <w:spacing w:line="300" w:lineRule="exact"/>
              <w:jc w:val="both"/>
              <w:rPr>
                <w:rFonts w:cs="新細明體"/>
                <w:spacing w:val="12"/>
                <w:sz w:val="20"/>
                <w:szCs w:val="20"/>
              </w:rPr>
            </w:pPr>
          </w:p>
          <w:p w:rsidR="001E5DEC" w:rsidRDefault="001E5DEC">
            <w:pPr>
              <w:spacing w:line="300" w:lineRule="exact"/>
              <w:jc w:val="both"/>
              <w:rPr>
                <w:rFonts w:cs="新細明體"/>
                <w:spacing w:val="12"/>
                <w:sz w:val="20"/>
                <w:szCs w:val="20"/>
              </w:rPr>
            </w:pPr>
            <w:r w:rsidRPr="006F4042">
              <w:rPr>
                <w:rFonts w:cs="新細明體" w:hint="eastAsia"/>
                <w:spacing w:val="12"/>
                <w:sz w:val="20"/>
                <w:szCs w:val="20"/>
              </w:rPr>
              <w:lastRenderedPageBreak/>
              <w:t>受託買賣及成交作業</w:t>
            </w:r>
          </w:p>
          <w:p w:rsidR="001E5DEC" w:rsidRDefault="001E5DEC">
            <w:pPr>
              <w:spacing w:line="300" w:lineRule="exact"/>
              <w:jc w:val="both"/>
              <w:rPr>
                <w:rFonts w:cs="新細明體"/>
                <w:spacing w:val="12"/>
                <w:sz w:val="20"/>
                <w:szCs w:val="20"/>
              </w:rPr>
            </w:pPr>
          </w:p>
          <w:p w:rsidR="001E5DEC" w:rsidRDefault="001E5DEC">
            <w:pPr>
              <w:spacing w:line="300" w:lineRule="exact"/>
              <w:jc w:val="both"/>
              <w:rPr>
                <w:rFonts w:cs="新細明體"/>
                <w:spacing w:val="12"/>
                <w:sz w:val="20"/>
                <w:szCs w:val="20"/>
              </w:rPr>
            </w:pPr>
          </w:p>
          <w:p w:rsidR="001E5DEC" w:rsidRDefault="001E5DEC">
            <w:pPr>
              <w:spacing w:line="300" w:lineRule="exact"/>
              <w:jc w:val="both"/>
              <w:rPr>
                <w:rFonts w:cs="新細明體"/>
                <w:spacing w:val="12"/>
                <w:sz w:val="20"/>
                <w:szCs w:val="20"/>
              </w:rPr>
            </w:pPr>
          </w:p>
          <w:p w:rsidR="001E5DEC" w:rsidRDefault="001E5DEC">
            <w:pPr>
              <w:spacing w:line="300" w:lineRule="exact"/>
              <w:jc w:val="both"/>
              <w:rPr>
                <w:rFonts w:cs="新細明體"/>
                <w:spacing w:val="12"/>
                <w:sz w:val="20"/>
                <w:szCs w:val="20"/>
              </w:rPr>
            </w:pPr>
          </w:p>
          <w:p w:rsidR="001E5DEC" w:rsidRPr="006F4042" w:rsidRDefault="001E5DEC">
            <w:pPr>
              <w:spacing w:line="300" w:lineRule="exact"/>
              <w:jc w:val="both"/>
              <w:rPr>
                <w:sz w:val="20"/>
                <w:szCs w:val="20"/>
              </w:rPr>
            </w:pPr>
          </w:p>
        </w:tc>
        <w:tc>
          <w:tcPr>
            <w:tcW w:w="7915" w:type="dxa"/>
          </w:tcPr>
          <w:p w:rsidR="00FC2622" w:rsidRPr="001E5DEC" w:rsidRDefault="00FC2622" w:rsidP="00131664">
            <w:pPr>
              <w:numPr>
                <w:ilvl w:val="0"/>
                <w:numId w:val="3"/>
              </w:numPr>
              <w:spacing w:line="260" w:lineRule="exact"/>
              <w:jc w:val="both"/>
              <w:rPr>
                <w:rFonts w:ascii="新細明體"/>
                <w:color w:val="000000" w:themeColor="text1"/>
                <w:spacing w:val="-4"/>
                <w:sz w:val="20"/>
                <w:szCs w:val="20"/>
              </w:rPr>
            </w:pPr>
            <w:r w:rsidRPr="001E5DEC">
              <w:rPr>
                <w:rFonts w:ascii="新細明體" w:hAnsi="新細明體" w:cs="新細明體" w:hint="eastAsia"/>
                <w:color w:val="000000" w:themeColor="text1"/>
                <w:spacing w:val="-4"/>
                <w:sz w:val="20"/>
                <w:szCs w:val="20"/>
              </w:rPr>
              <w:lastRenderedPageBreak/>
              <w:t>成交回報：</w:t>
            </w:r>
          </w:p>
          <w:p w:rsidR="00FC2622" w:rsidRPr="001E5DEC" w:rsidRDefault="00FC2622" w:rsidP="00131664">
            <w:pPr>
              <w:spacing w:line="260" w:lineRule="exact"/>
              <w:ind w:left="456"/>
              <w:jc w:val="both"/>
              <w:rPr>
                <w:rFonts w:ascii="新細明體"/>
                <w:dstrike/>
                <w:color w:val="000000" w:themeColor="text1"/>
                <w:spacing w:val="-4"/>
                <w:sz w:val="20"/>
                <w:szCs w:val="20"/>
              </w:rPr>
            </w:pPr>
            <w:r w:rsidRPr="001E5DEC">
              <w:rPr>
                <w:rFonts w:ascii="新細明體" w:hAnsi="新細明體" w:cs="新細明體" w:hint="eastAsia"/>
                <w:color w:val="000000" w:themeColor="text1"/>
                <w:spacing w:val="-4"/>
                <w:sz w:val="20"/>
                <w:szCs w:val="20"/>
              </w:rPr>
              <w:t>買賣成交回報經核對無誤後是否於委託書上簽蓋「已成交」戳記及註明成交股數、價格，並通知客戶。</w:t>
            </w:r>
          </w:p>
          <w:p w:rsidR="00FC2622" w:rsidRPr="001E5DEC" w:rsidRDefault="00FC2622" w:rsidP="00131664">
            <w:pPr>
              <w:numPr>
                <w:ilvl w:val="0"/>
                <w:numId w:val="3"/>
              </w:numPr>
              <w:spacing w:line="260" w:lineRule="exact"/>
              <w:jc w:val="both"/>
              <w:rPr>
                <w:rFonts w:ascii="新細明體"/>
                <w:color w:val="000000" w:themeColor="text1"/>
                <w:spacing w:val="-4"/>
                <w:sz w:val="20"/>
                <w:szCs w:val="20"/>
              </w:rPr>
            </w:pPr>
            <w:r w:rsidRPr="001E5DEC">
              <w:rPr>
                <w:rFonts w:ascii="新細明體" w:hAnsi="新細明體" w:cs="新細明體" w:hint="eastAsia"/>
                <w:color w:val="000000" w:themeColor="text1"/>
                <w:spacing w:val="-4"/>
                <w:sz w:val="20"/>
                <w:szCs w:val="20"/>
              </w:rPr>
              <w:t>內部人員交易：</w:t>
            </w:r>
          </w:p>
          <w:p w:rsidR="00FC2622" w:rsidRPr="001E5DEC" w:rsidRDefault="00FC2622" w:rsidP="00131664">
            <w:pPr>
              <w:numPr>
                <w:ilvl w:val="1"/>
                <w:numId w:val="3"/>
              </w:numPr>
              <w:spacing w:line="260" w:lineRule="exact"/>
              <w:ind w:hanging="477"/>
              <w:jc w:val="both"/>
              <w:rPr>
                <w:rFonts w:ascii="新細明體"/>
                <w:color w:val="000000" w:themeColor="text1"/>
                <w:spacing w:val="-4"/>
                <w:sz w:val="20"/>
                <w:szCs w:val="20"/>
              </w:rPr>
            </w:pPr>
            <w:r w:rsidRPr="001E5DEC">
              <w:rPr>
                <w:rFonts w:ascii="新細明體" w:hAnsi="新細明體" w:cs="新細明體" w:hint="eastAsia"/>
                <w:color w:val="000000" w:themeColor="text1"/>
                <w:spacing w:val="-4"/>
                <w:sz w:val="20"/>
                <w:szCs w:val="20"/>
              </w:rPr>
              <w:t>內部人員是否限在公司內部開戶委託買賣（但公司董事、監察人及受</w:t>
            </w:r>
            <w:proofErr w:type="gramStart"/>
            <w:r w:rsidRPr="001E5DEC">
              <w:rPr>
                <w:rFonts w:ascii="新細明體" w:hAnsi="新細明體" w:cs="新細明體" w:hint="eastAsia"/>
                <w:color w:val="000000" w:themeColor="text1"/>
                <w:spacing w:val="-4"/>
                <w:sz w:val="20"/>
                <w:szCs w:val="20"/>
              </w:rPr>
              <w:t>僱</w:t>
            </w:r>
            <w:proofErr w:type="gramEnd"/>
            <w:r w:rsidRPr="001E5DEC">
              <w:rPr>
                <w:rFonts w:ascii="新細明體" w:hAnsi="新細明體" w:cs="新細明體" w:hint="eastAsia"/>
                <w:color w:val="000000" w:themeColor="text1"/>
                <w:spacing w:val="-4"/>
                <w:sz w:val="20"/>
                <w:szCs w:val="20"/>
              </w:rPr>
              <w:t>人員三者之配偶及未成年子女，不在此限），並不得利用他人名義為之。</w:t>
            </w:r>
          </w:p>
          <w:p w:rsidR="00FC2622" w:rsidRPr="001E5DEC" w:rsidRDefault="00FC2622" w:rsidP="00131664">
            <w:pPr>
              <w:numPr>
                <w:ilvl w:val="1"/>
                <w:numId w:val="3"/>
              </w:numPr>
              <w:spacing w:line="260" w:lineRule="exact"/>
              <w:ind w:hanging="477"/>
              <w:jc w:val="both"/>
              <w:rPr>
                <w:rFonts w:ascii="新細明體"/>
                <w:color w:val="000000" w:themeColor="text1"/>
                <w:spacing w:val="-4"/>
                <w:sz w:val="20"/>
                <w:szCs w:val="20"/>
              </w:rPr>
            </w:pPr>
            <w:r w:rsidRPr="001E5DEC">
              <w:rPr>
                <w:rFonts w:ascii="新細明體" w:hAnsi="新細明體" w:cs="新細明體" w:hint="eastAsia"/>
                <w:color w:val="000000" w:themeColor="text1"/>
                <w:spacing w:val="-4"/>
                <w:sz w:val="20"/>
                <w:szCs w:val="20"/>
              </w:rPr>
              <w:t>公司內部人員之委託買賣是否由公司於成交後檢查其交易有無涉及未公開資訊情形，或與公司或其他客戶有利益衝突而有迴避之必要，並是否於內部控制制度中訂定檢查程序。</w:t>
            </w:r>
          </w:p>
          <w:p w:rsidR="006276AC" w:rsidRPr="001E5DEC" w:rsidRDefault="008813B2" w:rsidP="00712DCD">
            <w:pPr>
              <w:numPr>
                <w:ilvl w:val="1"/>
                <w:numId w:val="3"/>
              </w:numPr>
              <w:spacing w:line="260" w:lineRule="exact"/>
              <w:ind w:hanging="477"/>
              <w:jc w:val="both"/>
              <w:rPr>
                <w:rFonts w:ascii="新細明體" w:hAnsi="新細明體" w:cs="新細明體"/>
                <w:color w:val="000000" w:themeColor="text1"/>
                <w:spacing w:val="-4"/>
                <w:sz w:val="20"/>
                <w:szCs w:val="20"/>
              </w:rPr>
            </w:pPr>
            <w:r w:rsidRPr="001E5DEC">
              <w:rPr>
                <w:rFonts w:ascii="新細明體" w:hAnsi="新細明體" w:cs="新細明體" w:hint="eastAsia"/>
                <w:color w:val="000000" w:themeColor="text1"/>
                <w:spacing w:val="-4"/>
                <w:sz w:val="20"/>
                <w:szCs w:val="20"/>
              </w:rPr>
              <w:t>公司是否指定專人每日分別檢視當日下列內部人員(含總分公司)</w:t>
            </w:r>
            <w:r w:rsidR="00017FCC" w:rsidRPr="001E5DEC">
              <w:rPr>
                <w:rFonts w:ascii="新細明體" w:hAnsi="新細明體" w:cs="新細明體" w:hint="eastAsia"/>
                <w:color w:val="000000" w:themeColor="text1"/>
                <w:spacing w:val="-4"/>
                <w:sz w:val="20"/>
                <w:szCs w:val="20"/>
              </w:rPr>
              <w:t>之</w:t>
            </w:r>
            <w:r w:rsidR="001E5DEC" w:rsidRPr="001E5DEC">
              <w:rPr>
                <w:rFonts w:ascii="新細明體" w:hAnsi="新細明體" w:cs="新細明體" w:hint="eastAsia"/>
                <w:color w:val="FF0000"/>
                <w:spacing w:val="-4"/>
                <w:sz w:val="20"/>
                <w:szCs w:val="20"/>
                <w:u w:val="single"/>
              </w:rPr>
              <w:t>委託</w:t>
            </w:r>
            <w:r w:rsidR="00017FCC" w:rsidRPr="001E5DEC">
              <w:rPr>
                <w:rFonts w:ascii="新細明體" w:hAnsi="新細明體" w:cs="新細明體" w:hint="eastAsia"/>
                <w:color w:val="000000" w:themeColor="text1"/>
                <w:spacing w:val="-4"/>
                <w:sz w:val="20"/>
                <w:szCs w:val="20"/>
              </w:rPr>
              <w:t>買賣明細</w:t>
            </w:r>
            <w:r w:rsidRPr="001E5DEC">
              <w:rPr>
                <w:rFonts w:ascii="新細明體" w:hAnsi="新細明體" w:cs="新細明體" w:hint="eastAsia"/>
                <w:color w:val="000000" w:themeColor="text1"/>
                <w:spacing w:val="-4"/>
                <w:sz w:val="20"/>
                <w:szCs w:val="20"/>
              </w:rPr>
              <w:t>及其權責可知悉客戶</w:t>
            </w:r>
            <w:r w:rsidR="00017FCC" w:rsidRPr="001E5DEC">
              <w:rPr>
                <w:rFonts w:ascii="新細明體" w:hAnsi="新細明體" w:cs="新細明體" w:hint="eastAsia"/>
                <w:color w:val="000000" w:themeColor="text1"/>
                <w:spacing w:val="-4"/>
                <w:sz w:val="20"/>
                <w:szCs w:val="20"/>
              </w:rPr>
              <w:t>之</w:t>
            </w:r>
            <w:r w:rsidRPr="001E5DEC">
              <w:rPr>
                <w:rFonts w:ascii="新細明體" w:hAnsi="新細明體" w:cs="新細明體" w:hint="eastAsia"/>
                <w:color w:val="000000" w:themeColor="text1"/>
                <w:spacing w:val="-4"/>
                <w:sz w:val="20"/>
                <w:szCs w:val="20"/>
              </w:rPr>
              <w:t>委託買賣明細，以瞭解內部人員</w:t>
            </w:r>
            <w:r w:rsidR="00712DCD" w:rsidRPr="001E5DEC">
              <w:rPr>
                <w:rFonts w:ascii="新細明體" w:hAnsi="新細明體" w:cs="新細明體" w:hint="eastAsia"/>
                <w:color w:val="000000" w:themeColor="text1"/>
                <w:spacing w:val="-4"/>
                <w:sz w:val="20"/>
                <w:szCs w:val="20"/>
              </w:rPr>
              <w:t>有無利用職務知悉之消息而發生利益衝突之情事，如有於短時間(</w:t>
            </w:r>
            <w:r w:rsidR="00AD7279">
              <w:rPr>
                <w:rFonts w:ascii="新細明體" w:hAnsi="新細明體" w:cs="新細明體" w:hint="eastAsia"/>
                <w:color w:val="FF0000"/>
                <w:spacing w:val="-4"/>
                <w:sz w:val="20"/>
                <w:szCs w:val="20"/>
                <w:u w:val="single"/>
              </w:rPr>
              <w:t>前後</w:t>
            </w:r>
            <w:r w:rsidR="00712DCD" w:rsidRPr="001E5DEC">
              <w:rPr>
                <w:rFonts w:ascii="新細明體" w:hAnsi="新細明體" w:cs="新細明體"/>
                <w:color w:val="000000" w:themeColor="text1"/>
                <w:spacing w:val="-4"/>
                <w:sz w:val="20"/>
                <w:szCs w:val="20"/>
              </w:rPr>
              <w:t>5</w:t>
            </w:r>
            <w:r w:rsidR="00712DCD" w:rsidRPr="001E5DEC">
              <w:rPr>
                <w:rFonts w:ascii="新細明體" w:hAnsi="新細明體" w:cs="新細明體" w:hint="eastAsia"/>
                <w:color w:val="000000" w:themeColor="text1"/>
                <w:spacing w:val="-4"/>
                <w:sz w:val="20"/>
                <w:szCs w:val="20"/>
              </w:rPr>
              <w:t>分鐘</w:t>
            </w:r>
            <w:r w:rsidR="00712DCD" w:rsidRPr="001E5DEC">
              <w:rPr>
                <w:rFonts w:ascii="新細明體" w:hAnsi="新細明體" w:cs="新細明體"/>
                <w:color w:val="000000" w:themeColor="text1"/>
                <w:spacing w:val="-4"/>
                <w:sz w:val="20"/>
                <w:szCs w:val="20"/>
              </w:rPr>
              <w:t>)</w:t>
            </w:r>
            <w:r w:rsidR="00712DCD" w:rsidRPr="001E5DEC">
              <w:rPr>
                <w:rFonts w:ascii="新細明體" w:hAnsi="新細明體" w:cs="新細明體" w:hint="eastAsia"/>
                <w:color w:val="000000" w:themeColor="text1"/>
                <w:spacing w:val="-4"/>
                <w:sz w:val="20"/>
                <w:szCs w:val="20"/>
              </w:rPr>
              <w:t>內同方向買進或賣出相同標的者，是否請其出具說明書說明原因後陳送權責主管審核，並是否留存相關紀錄。</w:t>
            </w:r>
          </w:p>
          <w:p w:rsidR="002320CD" w:rsidRPr="001E5DEC" w:rsidRDefault="002320CD" w:rsidP="00016126">
            <w:pPr>
              <w:pStyle w:val="a7"/>
              <w:numPr>
                <w:ilvl w:val="2"/>
                <w:numId w:val="3"/>
              </w:numPr>
              <w:spacing w:line="260" w:lineRule="exact"/>
              <w:ind w:leftChars="0"/>
              <w:jc w:val="both"/>
              <w:rPr>
                <w:rFonts w:ascii="新細明體" w:hAnsi="新細明體" w:cs="新細明體"/>
                <w:color w:val="000000" w:themeColor="text1"/>
                <w:spacing w:val="-4"/>
                <w:sz w:val="20"/>
                <w:szCs w:val="20"/>
              </w:rPr>
            </w:pPr>
            <w:r w:rsidRPr="001E5DEC">
              <w:rPr>
                <w:rFonts w:ascii="新細明體" w:hAnsi="新細明體" w:cs="新細明體" w:hint="eastAsia"/>
                <w:color w:val="000000" w:themeColor="text1"/>
                <w:spacing w:val="-4"/>
                <w:sz w:val="20"/>
                <w:szCs w:val="20"/>
              </w:rPr>
              <w:t>受託買賣業務人員、其配偶及未成年子女。</w:t>
            </w:r>
          </w:p>
          <w:p w:rsidR="002320CD" w:rsidRPr="001E5DEC" w:rsidRDefault="002320CD" w:rsidP="002320CD">
            <w:pPr>
              <w:pStyle w:val="a7"/>
              <w:numPr>
                <w:ilvl w:val="2"/>
                <w:numId w:val="3"/>
              </w:numPr>
              <w:spacing w:line="260" w:lineRule="exact"/>
              <w:ind w:leftChars="0"/>
              <w:jc w:val="both"/>
              <w:rPr>
                <w:rFonts w:ascii="新細明體" w:hAnsi="新細明體"/>
                <w:color w:val="000000" w:themeColor="text1"/>
                <w:spacing w:val="24"/>
                <w:sz w:val="20"/>
                <w:szCs w:val="20"/>
              </w:rPr>
            </w:pPr>
            <w:r w:rsidRPr="001E5DEC">
              <w:rPr>
                <w:rFonts w:ascii="新細明體" w:hAnsi="新細明體" w:cs="新細明體" w:hint="eastAsia"/>
                <w:color w:val="000000" w:themeColor="text1"/>
                <w:spacing w:val="-4"/>
                <w:sz w:val="20"/>
                <w:szCs w:val="20"/>
              </w:rPr>
              <w:t>除受託買賣業務人員以外所有內部人員、其配偶及未成年子女。</w:t>
            </w:r>
          </w:p>
          <w:p w:rsidR="001E5DEC" w:rsidRPr="001E5DEC" w:rsidRDefault="001E5DEC" w:rsidP="001E5DEC">
            <w:pPr>
              <w:spacing w:line="260" w:lineRule="exact"/>
              <w:jc w:val="both"/>
              <w:rPr>
                <w:rFonts w:ascii="新細明體" w:hAnsi="新細明體" w:cs="新細明體"/>
                <w:color w:val="FF0000"/>
                <w:spacing w:val="-4"/>
                <w:sz w:val="20"/>
                <w:szCs w:val="20"/>
                <w:u w:val="single"/>
              </w:rPr>
            </w:pPr>
            <w:r>
              <w:rPr>
                <w:rFonts w:ascii="新細明體" w:hAnsi="新細明體" w:hint="eastAsia"/>
                <w:color w:val="000000" w:themeColor="text1"/>
                <w:spacing w:val="24"/>
                <w:sz w:val="20"/>
                <w:szCs w:val="20"/>
              </w:rPr>
              <w:t xml:space="preserve"> </w:t>
            </w:r>
            <w:r>
              <w:rPr>
                <w:rFonts w:ascii="新細明體" w:hAnsi="新細明體"/>
                <w:color w:val="000000" w:themeColor="text1"/>
                <w:spacing w:val="24"/>
                <w:sz w:val="20"/>
                <w:szCs w:val="20"/>
              </w:rPr>
              <w:t xml:space="preserve">    </w:t>
            </w:r>
            <w:r w:rsidRPr="001E5DEC">
              <w:rPr>
                <w:rFonts w:ascii="新細明體" w:hAnsi="新細明體" w:cs="新細明體" w:hint="eastAsia"/>
                <w:color w:val="FF0000"/>
                <w:spacing w:val="-4"/>
                <w:sz w:val="20"/>
                <w:szCs w:val="20"/>
                <w:u w:val="single"/>
              </w:rPr>
              <w:t>前項內部人員之委託買賣</w:t>
            </w:r>
            <w:proofErr w:type="gramStart"/>
            <w:r w:rsidRPr="001E5DEC">
              <w:rPr>
                <w:rFonts w:ascii="新細明體" w:hAnsi="新細明體" w:cs="新細明體" w:hint="eastAsia"/>
                <w:color w:val="FF0000"/>
                <w:spacing w:val="-4"/>
                <w:sz w:val="20"/>
                <w:szCs w:val="20"/>
                <w:u w:val="single"/>
              </w:rPr>
              <w:t>明細得排除</w:t>
            </w:r>
            <w:proofErr w:type="gramEnd"/>
            <w:r w:rsidRPr="001E5DEC">
              <w:rPr>
                <w:rFonts w:ascii="新細明體" w:hAnsi="新細明體" w:cs="新細明體" w:hint="eastAsia"/>
                <w:color w:val="FF0000"/>
                <w:spacing w:val="-4"/>
                <w:sz w:val="20"/>
                <w:szCs w:val="20"/>
                <w:u w:val="single"/>
              </w:rPr>
              <w:t>下列標的或交易：</w:t>
            </w:r>
          </w:p>
          <w:p w:rsidR="001E5DEC" w:rsidRPr="001E5DEC" w:rsidRDefault="001E5DEC" w:rsidP="001E5DEC">
            <w:pPr>
              <w:pStyle w:val="a7"/>
              <w:numPr>
                <w:ilvl w:val="2"/>
                <w:numId w:val="4"/>
              </w:numPr>
              <w:spacing w:line="260" w:lineRule="exact"/>
              <w:ind w:leftChars="0"/>
              <w:jc w:val="both"/>
              <w:rPr>
                <w:rFonts w:ascii="新細明體" w:hAnsi="新細明體"/>
                <w:color w:val="FF0000"/>
                <w:spacing w:val="24"/>
                <w:sz w:val="20"/>
                <w:szCs w:val="20"/>
                <w:u w:val="single"/>
              </w:rPr>
            </w:pPr>
            <w:r w:rsidRPr="001E5DEC">
              <w:rPr>
                <w:rFonts w:ascii="新細明體" w:hAnsi="新細明體" w:cs="新細明體" w:hint="eastAsia"/>
                <w:color w:val="FF0000"/>
                <w:spacing w:val="-4"/>
                <w:sz w:val="20"/>
                <w:szCs w:val="20"/>
                <w:u w:val="single"/>
              </w:rPr>
              <w:t>初次</w:t>
            </w:r>
            <w:proofErr w:type="gramStart"/>
            <w:r w:rsidRPr="001E5DEC">
              <w:rPr>
                <w:rFonts w:ascii="新細明體" w:hAnsi="新細明體" w:cs="新細明體" w:hint="eastAsia"/>
                <w:color w:val="FF0000"/>
                <w:spacing w:val="-4"/>
                <w:sz w:val="20"/>
                <w:szCs w:val="20"/>
                <w:u w:val="single"/>
              </w:rPr>
              <w:t>上市櫃首五日</w:t>
            </w:r>
            <w:proofErr w:type="gramEnd"/>
            <w:r w:rsidRPr="001E5DEC">
              <w:rPr>
                <w:rFonts w:ascii="新細明體" w:hAnsi="新細明體" w:cs="新細明體" w:hint="eastAsia"/>
                <w:color w:val="FF0000"/>
                <w:spacing w:val="-4"/>
                <w:sz w:val="20"/>
                <w:szCs w:val="20"/>
                <w:u w:val="single"/>
              </w:rPr>
              <w:t>無漲跌幅限制之股票。</w:t>
            </w:r>
          </w:p>
          <w:p w:rsidR="001E5DEC" w:rsidRPr="001E5DEC" w:rsidRDefault="001E5DEC" w:rsidP="001E5DEC">
            <w:pPr>
              <w:pStyle w:val="a7"/>
              <w:numPr>
                <w:ilvl w:val="2"/>
                <w:numId w:val="4"/>
              </w:numPr>
              <w:spacing w:line="260" w:lineRule="exact"/>
              <w:ind w:leftChars="0"/>
              <w:jc w:val="both"/>
              <w:rPr>
                <w:rFonts w:ascii="新細明體" w:hAnsi="新細明體"/>
                <w:color w:val="FF0000"/>
                <w:spacing w:val="24"/>
                <w:sz w:val="20"/>
                <w:szCs w:val="20"/>
                <w:u w:val="single"/>
              </w:rPr>
            </w:pPr>
            <w:r w:rsidRPr="001E5DEC">
              <w:rPr>
                <w:rFonts w:ascii="新細明體" w:hAnsi="新細明體" w:hint="eastAsia"/>
                <w:color w:val="FF0000"/>
                <w:sz w:val="20"/>
                <w:szCs w:val="20"/>
                <w:u w:val="single"/>
              </w:rPr>
              <w:t>零股交易。</w:t>
            </w:r>
          </w:p>
          <w:p w:rsidR="001E5DEC" w:rsidRPr="001E5DEC" w:rsidRDefault="001E5DEC" w:rsidP="001E5DEC">
            <w:pPr>
              <w:pStyle w:val="a7"/>
              <w:numPr>
                <w:ilvl w:val="2"/>
                <w:numId w:val="4"/>
              </w:numPr>
              <w:spacing w:line="260" w:lineRule="exact"/>
              <w:ind w:leftChars="0"/>
              <w:jc w:val="both"/>
              <w:rPr>
                <w:rFonts w:ascii="新細明體" w:hAnsi="新細明體"/>
                <w:color w:val="FF0000"/>
                <w:spacing w:val="24"/>
                <w:sz w:val="20"/>
                <w:szCs w:val="20"/>
                <w:u w:val="single"/>
              </w:rPr>
            </w:pPr>
            <w:r w:rsidRPr="001E5DEC">
              <w:rPr>
                <w:rFonts w:ascii="新細明體" w:hAnsi="新細明體" w:hint="eastAsia"/>
                <w:color w:val="FF0000"/>
                <w:sz w:val="20"/>
                <w:szCs w:val="20"/>
                <w:u w:val="single"/>
              </w:rPr>
              <w:t>盤前預約單。</w:t>
            </w:r>
          </w:p>
          <w:p w:rsidR="001E5DEC" w:rsidRPr="001E5DEC" w:rsidRDefault="001E5DEC" w:rsidP="001E5DEC">
            <w:pPr>
              <w:pStyle w:val="a7"/>
              <w:numPr>
                <w:ilvl w:val="2"/>
                <w:numId w:val="4"/>
              </w:numPr>
              <w:spacing w:line="260" w:lineRule="exact"/>
              <w:ind w:leftChars="0"/>
              <w:jc w:val="both"/>
              <w:rPr>
                <w:rFonts w:ascii="新細明體" w:hAnsi="新細明體"/>
                <w:color w:val="FF0000"/>
                <w:spacing w:val="24"/>
                <w:sz w:val="20"/>
                <w:szCs w:val="20"/>
                <w:u w:val="single"/>
              </w:rPr>
            </w:pPr>
            <w:r w:rsidRPr="001E5DEC">
              <w:rPr>
                <w:rFonts w:ascii="新細明體" w:hAnsi="新細明體" w:hint="eastAsia"/>
                <w:color w:val="FF0000"/>
                <w:sz w:val="20"/>
                <w:szCs w:val="20"/>
                <w:u w:val="single"/>
              </w:rPr>
              <w:t>盤後定價交易。</w:t>
            </w:r>
          </w:p>
          <w:p w:rsidR="001E5DEC" w:rsidRPr="001E5DEC" w:rsidRDefault="001E5DEC" w:rsidP="001E5DEC">
            <w:pPr>
              <w:pStyle w:val="a7"/>
              <w:numPr>
                <w:ilvl w:val="2"/>
                <w:numId w:val="4"/>
              </w:numPr>
              <w:spacing w:line="260" w:lineRule="exact"/>
              <w:ind w:leftChars="0"/>
              <w:jc w:val="both"/>
              <w:rPr>
                <w:rFonts w:ascii="新細明體" w:hAnsi="新細明體"/>
                <w:color w:val="FF0000"/>
                <w:spacing w:val="24"/>
                <w:sz w:val="20"/>
                <w:szCs w:val="20"/>
                <w:u w:val="single"/>
              </w:rPr>
            </w:pPr>
            <w:r w:rsidRPr="001E5DEC">
              <w:rPr>
                <w:rFonts w:ascii="新細明體" w:hAnsi="新細明體" w:hint="eastAsia"/>
                <w:color w:val="FF0000"/>
                <w:sz w:val="20"/>
                <w:szCs w:val="20"/>
                <w:u w:val="single"/>
              </w:rPr>
              <w:t>早於客戶電子委託下單時間之委託。</w:t>
            </w:r>
          </w:p>
          <w:p w:rsidR="002320CD" w:rsidRPr="001E5DEC" w:rsidRDefault="00B87DD4" w:rsidP="00B87DD4">
            <w:pPr>
              <w:spacing w:line="260" w:lineRule="exact"/>
              <w:jc w:val="both"/>
              <w:rPr>
                <w:rFonts w:ascii="新細明體" w:hAnsi="新細明體"/>
                <w:color w:val="000000" w:themeColor="text1"/>
                <w:spacing w:val="24"/>
                <w:sz w:val="20"/>
              </w:rPr>
            </w:pPr>
            <w:r w:rsidRPr="001E5DEC">
              <w:rPr>
                <w:rFonts w:ascii="新細明體" w:hAnsi="新細明體" w:cs="新細明體" w:hint="eastAsia"/>
                <w:color w:val="000000" w:themeColor="text1"/>
                <w:spacing w:val="-4"/>
                <w:sz w:val="20"/>
                <w:szCs w:val="20"/>
              </w:rPr>
              <w:t xml:space="preserve">        </w:t>
            </w:r>
            <w:r w:rsidR="002320CD" w:rsidRPr="001E5DEC">
              <w:rPr>
                <w:rFonts w:ascii="新細明體" w:hAnsi="新細明體" w:cs="新細明體" w:hint="eastAsia"/>
                <w:color w:val="000000" w:themeColor="text1"/>
                <w:spacing w:val="-4"/>
                <w:sz w:val="20"/>
                <w:szCs w:val="20"/>
              </w:rPr>
              <w:t>發現有利益衝突情事者，是否依公司相關規定予以處置</w:t>
            </w:r>
            <w:r w:rsidR="00017FCC" w:rsidRPr="001E5DEC">
              <w:rPr>
                <w:rFonts w:ascii="新細明體" w:hAnsi="新細明體" w:cs="新細明體" w:hint="eastAsia"/>
                <w:color w:val="000000" w:themeColor="text1"/>
                <w:spacing w:val="-4"/>
                <w:sz w:val="20"/>
                <w:szCs w:val="20"/>
              </w:rPr>
              <w:t>。</w:t>
            </w:r>
          </w:p>
          <w:p w:rsidR="00712DCD" w:rsidRPr="001E5DEC" w:rsidRDefault="00712DCD" w:rsidP="004D197A">
            <w:pPr>
              <w:ind w:firstLineChars="500" w:firstLine="960"/>
              <w:rPr>
                <w:rFonts w:ascii="新細明體" w:hAnsi="新細明體" w:cs="新細明體"/>
                <w:color w:val="000000" w:themeColor="text1"/>
                <w:spacing w:val="-4"/>
                <w:sz w:val="20"/>
                <w:szCs w:val="20"/>
              </w:rPr>
            </w:pPr>
          </w:p>
          <w:p w:rsidR="00673AD1" w:rsidRPr="001E5DEC" w:rsidRDefault="00673AD1" w:rsidP="004D197A">
            <w:pPr>
              <w:ind w:firstLineChars="500" w:firstLine="960"/>
              <w:rPr>
                <w:rFonts w:ascii="新細明體" w:hAnsi="新細明體" w:cs="新細明體"/>
                <w:color w:val="000000" w:themeColor="text1"/>
                <w:spacing w:val="-4"/>
                <w:sz w:val="20"/>
                <w:szCs w:val="20"/>
              </w:rPr>
            </w:pPr>
          </w:p>
          <w:p w:rsidR="002320CD" w:rsidRPr="001E5DEC" w:rsidRDefault="002320CD" w:rsidP="004D197A">
            <w:pPr>
              <w:ind w:firstLineChars="500" w:firstLine="960"/>
              <w:rPr>
                <w:rFonts w:ascii="新細明體" w:hAnsi="新細明體" w:cs="新細明體"/>
                <w:color w:val="000000" w:themeColor="text1"/>
                <w:spacing w:val="-4"/>
                <w:sz w:val="20"/>
                <w:szCs w:val="20"/>
              </w:rPr>
            </w:pPr>
          </w:p>
          <w:p w:rsidR="00E54512" w:rsidRPr="001E5DEC" w:rsidRDefault="00E54512" w:rsidP="004D197A">
            <w:pPr>
              <w:ind w:firstLineChars="500" w:firstLine="960"/>
              <w:rPr>
                <w:rFonts w:ascii="新細明體" w:hAnsi="新細明體" w:cs="新細明體"/>
                <w:color w:val="000000" w:themeColor="text1"/>
                <w:spacing w:val="-4"/>
                <w:sz w:val="20"/>
                <w:szCs w:val="20"/>
              </w:rPr>
            </w:pPr>
          </w:p>
          <w:p w:rsidR="00E54512" w:rsidRPr="001E5DEC" w:rsidRDefault="00E54512" w:rsidP="004D197A">
            <w:pPr>
              <w:ind w:firstLineChars="500" w:firstLine="960"/>
              <w:rPr>
                <w:rFonts w:ascii="新細明體" w:hAnsi="新細明體" w:cs="新細明體"/>
                <w:color w:val="000000" w:themeColor="text1"/>
                <w:spacing w:val="-4"/>
                <w:sz w:val="20"/>
                <w:szCs w:val="20"/>
              </w:rPr>
            </w:pPr>
          </w:p>
          <w:p w:rsidR="002320CD" w:rsidRPr="001E5DEC" w:rsidRDefault="002320CD" w:rsidP="004D197A">
            <w:pPr>
              <w:ind w:firstLineChars="500" w:firstLine="960"/>
              <w:rPr>
                <w:rFonts w:ascii="新細明體" w:hAnsi="新細明體" w:cs="新細明體"/>
                <w:color w:val="000000" w:themeColor="text1"/>
                <w:spacing w:val="-4"/>
                <w:sz w:val="20"/>
                <w:szCs w:val="20"/>
              </w:rPr>
            </w:pPr>
          </w:p>
          <w:p w:rsidR="00E54512" w:rsidRPr="001E5DEC" w:rsidRDefault="00E54512" w:rsidP="004D197A">
            <w:pPr>
              <w:ind w:firstLineChars="500" w:firstLine="960"/>
              <w:rPr>
                <w:rFonts w:ascii="新細明體" w:hAnsi="新細明體" w:cs="新細明體"/>
                <w:color w:val="000000" w:themeColor="text1"/>
                <w:spacing w:val="-4"/>
                <w:sz w:val="20"/>
                <w:szCs w:val="20"/>
              </w:rPr>
            </w:pPr>
          </w:p>
          <w:p w:rsidR="00712DCD" w:rsidRPr="001E5DEC" w:rsidRDefault="00712DCD" w:rsidP="004D197A">
            <w:pPr>
              <w:ind w:firstLineChars="500" w:firstLine="960"/>
              <w:rPr>
                <w:rFonts w:ascii="新細明體" w:hAnsi="新細明體" w:cs="新細明體"/>
                <w:color w:val="000000" w:themeColor="text1"/>
                <w:spacing w:val="-4"/>
                <w:sz w:val="20"/>
                <w:szCs w:val="20"/>
              </w:rPr>
            </w:pPr>
          </w:p>
          <w:p w:rsidR="00AC6240" w:rsidRPr="001E5DEC" w:rsidRDefault="00AC6240" w:rsidP="00AC6240">
            <w:pPr>
              <w:spacing w:line="260" w:lineRule="exact"/>
              <w:jc w:val="both"/>
              <w:rPr>
                <w:rFonts w:ascii="新細明體" w:hAnsi="新細明體" w:cs="新細明體"/>
                <w:color w:val="000000" w:themeColor="text1"/>
                <w:spacing w:val="-4"/>
                <w:sz w:val="20"/>
                <w:szCs w:val="20"/>
              </w:rPr>
            </w:pPr>
            <w:r w:rsidRPr="001E5DEC">
              <w:rPr>
                <w:rFonts w:ascii="新細明體" w:hAnsi="新細明體" w:cs="新細明體" w:hint="eastAsia"/>
                <w:color w:val="000000" w:themeColor="text1"/>
                <w:spacing w:val="-4"/>
                <w:sz w:val="20"/>
                <w:szCs w:val="20"/>
              </w:rPr>
              <w:lastRenderedPageBreak/>
              <w:t xml:space="preserve">     (四)</w:t>
            </w:r>
            <w:r w:rsidR="00685B40" w:rsidRPr="001E5DEC">
              <w:rPr>
                <w:rFonts w:ascii="新細明體" w:hAnsi="新細明體" w:cs="新細明體" w:hint="eastAsia"/>
                <w:color w:val="000000" w:themeColor="text1"/>
                <w:spacing w:val="-4"/>
                <w:sz w:val="20"/>
                <w:szCs w:val="20"/>
              </w:rPr>
              <w:t>營業員如知悉內部人員及證券交易輔助人之內部人員有利用他人名義買賣時，是否拒</w:t>
            </w:r>
          </w:p>
          <w:p w:rsidR="00FC2622" w:rsidRPr="001E5DEC" w:rsidRDefault="00685B40" w:rsidP="00AC6240">
            <w:pPr>
              <w:spacing w:line="260" w:lineRule="exact"/>
              <w:ind w:leftChars="400" w:left="960"/>
              <w:jc w:val="both"/>
              <w:rPr>
                <w:rFonts w:ascii="新細明體"/>
                <w:color w:val="000000" w:themeColor="text1"/>
                <w:spacing w:val="-4"/>
                <w:sz w:val="20"/>
                <w:szCs w:val="20"/>
              </w:rPr>
            </w:pPr>
            <w:r w:rsidRPr="001E5DEC">
              <w:rPr>
                <w:rFonts w:ascii="新細明體" w:hAnsi="新細明體" w:cs="新細明體" w:hint="eastAsia"/>
                <w:color w:val="000000" w:themeColor="text1"/>
                <w:spacing w:val="-4"/>
                <w:sz w:val="20"/>
                <w:szCs w:val="20"/>
              </w:rPr>
              <w:t>絕接受其委託買賣，並通知受託買賣主管處理</w:t>
            </w:r>
            <w:r w:rsidR="00FC2622" w:rsidRPr="001E5DEC">
              <w:rPr>
                <w:rFonts w:ascii="新細明體" w:hAnsi="新細明體" w:cs="新細明體" w:hint="eastAsia"/>
                <w:color w:val="000000" w:themeColor="text1"/>
                <w:spacing w:val="-4"/>
                <w:sz w:val="20"/>
                <w:szCs w:val="20"/>
              </w:rPr>
              <w:t>。</w:t>
            </w:r>
            <w:r w:rsidR="00930832" w:rsidRPr="001E5DEC">
              <w:rPr>
                <w:rFonts w:ascii="新細明體" w:hAnsi="新細明體" w:hint="eastAsia"/>
                <w:color w:val="000000" w:themeColor="text1"/>
                <w:spacing w:val="-4"/>
                <w:sz w:val="20"/>
                <w:szCs w:val="20"/>
              </w:rPr>
              <w:t>營業員除自行以電子式交易外，是否未受</w:t>
            </w:r>
            <w:r w:rsidR="00AC6240" w:rsidRPr="001E5DEC">
              <w:rPr>
                <w:rFonts w:ascii="新細明體" w:hAnsi="新細明體" w:hint="eastAsia"/>
                <w:color w:val="000000" w:themeColor="text1"/>
                <w:spacing w:val="-4"/>
                <w:sz w:val="20"/>
                <w:szCs w:val="20"/>
              </w:rPr>
              <w:t xml:space="preserve"> </w:t>
            </w:r>
            <w:r w:rsidR="00930832" w:rsidRPr="001E5DEC">
              <w:rPr>
                <w:rFonts w:ascii="新細明體" w:hAnsi="新細明體" w:hint="eastAsia"/>
                <w:color w:val="000000" w:themeColor="text1"/>
                <w:spacing w:val="-4"/>
                <w:sz w:val="20"/>
                <w:szCs w:val="20"/>
              </w:rPr>
              <w:t>理自身</w:t>
            </w:r>
            <w:r w:rsidR="00930832" w:rsidRPr="001E5DEC">
              <w:rPr>
                <w:rFonts w:ascii="新細明體" w:hAnsi="新細明體" w:hint="eastAsia"/>
                <w:color w:val="000000" w:themeColor="text1"/>
                <w:spacing w:val="-4"/>
                <w:sz w:val="20"/>
                <w:szCs w:val="20"/>
                <w:lang w:val="zh-TW"/>
              </w:rPr>
              <w:t>及依證交所營業細則第七十五條第一項第四款</w:t>
            </w:r>
            <w:r w:rsidR="00131664" w:rsidRPr="001E5DEC">
              <w:rPr>
                <w:rFonts w:ascii="新細明體" w:hAnsi="新細明體" w:hint="eastAsia"/>
                <w:color w:val="000000" w:themeColor="text1"/>
                <w:spacing w:val="-4"/>
                <w:sz w:val="20"/>
                <w:szCs w:val="20"/>
                <w:lang w:val="zh-TW"/>
              </w:rPr>
              <w:t>、櫃檯買賣</w:t>
            </w:r>
            <w:r w:rsidR="00131664" w:rsidRPr="001E5DEC">
              <w:rPr>
                <w:rFonts w:ascii="新細明體" w:hAnsi="新細明體" w:hint="eastAsia"/>
                <w:color w:val="000000" w:themeColor="text1"/>
                <w:spacing w:val="-4"/>
                <w:sz w:val="20"/>
                <w:szCs w:val="20"/>
              </w:rPr>
              <w:t>中心證券商營業處所買賣有價證券業務規則第四十五條之一第一項</w:t>
            </w:r>
            <w:r w:rsidR="00930832" w:rsidRPr="001E5DEC">
              <w:rPr>
                <w:rFonts w:ascii="新細明體" w:hAnsi="新細明體" w:hint="eastAsia"/>
                <w:color w:val="000000" w:themeColor="text1"/>
                <w:spacing w:val="-4"/>
                <w:sz w:val="20"/>
                <w:szCs w:val="20"/>
                <w:lang w:val="zh-TW"/>
              </w:rPr>
              <w:t>所代理帳戶</w:t>
            </w:r>
            <w:r w:rsidR="00930832" w:rsidRPr="001E5DEC">
              <w:rPr>
                <w:rFonts w:ascii="新細明體" w:hAnsi="新細明體" w:hint="eastAsia"/>
                <w:color w:val="000000" w:themeColor="text1"/>
                <w:spacing w:val="-4"/>
                <w:sz w:val="20"/>
                <w:szCs w:val="20"/>
              </w:rPr>
              <w:t>之委託交易。</w:t>
            </w:r>
          </w:p>
          <w:p w:rsidR="00AC6240" w:rsidRPr="001E5DEC" w:rsidRDefault="00AC6240" w:rsidP="00AC6240">
            <w:pPr>
              <w:spacing w:line="260" w:lineRule="exact"/>
              <w:ind w:leftChars="200" w:left="480"/>
              <w:jc w:val="both"/>
              <w:rPr>
                <w:rFonts w:ascii="新細明體" w:hAnsi="新細明體" w:cs="新細明體"/>
                <w:color w:val="000000" w:themeColor="text1"/>
                <w:spacing w:val="-4"/>
                <w:sz w:val="20"/>
                <w:szCs w:val="20"/>
              </w:rPr>
            </w:pPr>
            <w:r w:rsidRPr="001E5DEC">
              <w:rPr>
                <w:rFonts w:ascii="新細明體" w:hAnsi="新細明體" w:cs="新細明體" w:hint="eastAsia"/>
                <w:color w:val="000000" w:themeColor="text1"/>
                <w:spacing w:val="-4"/>
                <w:sz w:val="20"/>
                <w:szCs w:val="20"/>
              </w:rPr>
              <w:t>(五)</w:t>
            </w:r>
            <w:r w:rsidR="00FC2622" w:rsidRPr="001E5DEC">
              <w:rPr>
                <w:rFonts w:ascii="新細明體" w:hAnsi="新細明體" w:cs="新細明體" w:hint="eastAsia"/>
                <w:color w:val="000000" w:themeColor="text1"/>
                <w:spacing w:val="-4"/>
                <w:sz w:val="20"/>
                <w:szCs w:val="20"/>
              </w:rPr>
              <w:t>內部人員獲悉承銷部門出售其包銷取得之股票或自</w:t>
            </w:r>
            <w:proofErr w:type="gramStart"/>
            <w:r w:rsidR="00FC2622" w:rsidRPr="001E5DEC">
              <w:rPr>
                <w:rFonts w:ascii="新細明體" w:hAnsi="新細明體" w:cs="新細明體" w:hint="eastAsia"/>
                <w:color w:val="000000" w:themeColor="text1"/>
                <w:spacing w:val="-4"/>
                <w:sz w:val="20"/>
                <w:szCs w:val="20"/>
              </w:rPr>
              <w:t>營部門欲為</w:t>
            </w:r>
            <w:proofErr w:type="gramEnd"/>
            <w:r w:rsidR="00FC2622" w:rsidRPr="001E5DEC">
              <w:rPr>
                <w:rFonts w:ascii="新細明體" w:hAnsi="新細明體" w:cs="新細明體" w:hint="eastAsia"/>
                <w:color w:val="000000" w:themeColor="text1"/>
                <w:spacing w:val="-4"/>
                <w:sz w:val="20"/>
                <w:szCs w:val="20"/>
              </w:rPr>
              <w:t>買賣股票種類者，於承</w:t>
            </w:r>
          </w:p>
          <w:p w:rsidR="00FC2622" w:rsidRPr="001E5DEC" w:rsidRDefault="00AC6240" w:rsidP="00AC6240">
            <w:pPr>
              <w:spacing w:line="260" w:lineRule="exact"/>
              <w:ind w:leftChars="200" w:left="480"/>
              <w:jc w:val="both"/>
              <w:rPr>
                <w:rFonts w:ascii="新細明體"/>
                <w:color w:val="000000" w:themeColor="text1"/>
                <w:spacing w:val="-4"/>
                <w:sz w:val="20"/>
                <w:szCs w:val="20"/>
              </w:rPr>
            </w:pPr>
            <w:r w:rsidRPr="001E5DEC">
              <w:rPr>
                <w:rFonts w:ascii="新細明體" w:hAnsi="新細明體" w:cs="新細明體" w:hint="eastAsia"/>
                <w:color w:val="000000" w:themeColor="text1"/>
                <w:spacing w:val="-4"/>
                <w:sz w:val="20"/>
                <w:szCs w:val="20"/>
              </w:rPr>
              <w:t xml:space="preserve">    </w:t>
            </w:r>
            <w:r w:rsidR="00FC2622" w:rsidRPr="001E5DEC">
              <w:rPr>
                <w:rFonts w:ascii="新細明體" w:hAnsi="新細明體" w:cs="新細明體" w:hint="eastAsia"/>
                <w:color w:val="000000" w:themeColor="text1"/>
                <w:spacing w:val="-4"/>
                <w:sz w:val="20"/>
                <w:szCs w:val="20"/>
              </w:rPr>
              <w:t>銷部門出售或自營部門買賣前，是否未為同種類股票之買賣委託。</w:t>
            </w:r>
          </w:p>
          <w:p w:rsidR="00027986" w:rsidRPr="001E5DEC" w:rsidRDefault="00AC6240" w:rsidP="00AC6240">
            <w:pPr>
              <w:spacing w:line="260" w:lineRule="exact"/>
              <w:jc w:val="both"/>
              <w:rPr>
                <w:rFonts w:ascii="新細明體" w:hAnsi="新細明體" w:cs="新細明體"/>
                <w:color w:val="000000" w:themeColor="text1"/>
                <w:sz w:val="20"/>
                <w:szCs w:val="20"/>
              </w:rPr>
            </w:pPr>
            <w:r w:rsidRPr="001E5DEC">
              <w:rPr>
                <w:rFonts w:ascii="新細明體" w:hAnsi="新細明體" w:cs="新細明體" w:hint="eastAsia"/>
                <w:color w:val="000000" w:themeColor="text1"/>
                <w:sz w:val="20"/>
                <w:szCs w:val="20"/>
              </w:rPr>
              <w:t xml:space="preserve">     (六)</w:t>
            </w:r>
            <w:r w:rsidR="00FC2622" w:rsidRPr="001E5DEC">
              <w:rPr>
                <w:rFonts w:ascii="新細明體" w:hAnsi="新細明體" w:cs="新細明體" w:hint="eastAsia"/>
                <w:color w:val="000000" w:themeColor="text1"/>
                <w:sz w:val="20"/>
                <w:szCs w:val="20"/>
              </w:rPr>
              <w:t>內部人員在所屬公司從事信用交易，公司對內部人員之開戶徵信管理及風險控管</w:t>
            </w:r>
          </w:p>
          <w:p w:rsidR="00FC2622" w:rsidRPr="001E5DEC" w:rsidRDefault="00027986" w:rsidP="00AC6240">
            <w:pPr>
              <w:spacing w:line="260" w:lineRule="exact"/>
              <w:jc w:val="both"/>
              <w:rPr>
                <w:rFonts w:ascii="新細明體"/>
                <w:color w:val="000000" w:themeColor="text1"/>
                <w:sz w:val="20"/>
                <w:szCs w:val="20"/>
              </w:rPr>
            </w:pPr>
            <w:r w:rsidRPr="001E5DEC">
              <w:rPr>
                <w:rFonts w:ascii="新細明體" w:hAnsi="新細明體" w:cs="新細明體" w:hint="eastAsia"/>
                <w:color w:val="000000" w:themeColor="text1"/>
                <w:sz w:val="20"/>
                <w:szCs w:val="20"/>
              </w:rPr>
              <w:t xml:space="preserve">        </w:t>
            </w:r>
            <w:r w:rsidR="00FC2622" w:rsidRPr="001E5DEC">
              <w:rPr>
                <w:rFonts w:ascii="新細明體" w:hAnsi="新細明體" w:cs="新細明體" w:hint="eastAsia"/>
                <w:color w:val="000000" w:themeColor="text1"/>
                <w:sz w:val="20"/>
                <w:szCs w:val="20"/>
              </w:rPr>
              <w:t>作業是否包含規定之控管事項。</w:t>
            </w:r>
          </w:p>
          <w:p w:rsidR="00FC2622" w:rsidRPr="001E5DEC" w:rsidRDefault="00AC6240" w:rsidP="00AC6240">
            <w:pPr>
              <w:spacing w:line="260" w:lineRule="exact"/>
              <w:jc w:val="both"/>
              <w:rPr>
                <w:rFonts w:ascii="新細明體"/>
                <w:color w:val="000000" w:themeColor="text1"/>
                <w:sz w:val="20"/>
                <w:szCs w:val="20"/>
              </w:rPr>
            </w:pPr>
            <w:r w:rsidRPr="001E5DEC">
              <w:rPr>
                <w:rFonts w:ascii="新細明體" w:hAnsi="新細明體" w:cs="新細明體" w:hint="eastAsia"/>
                <w:color w:val="000000" w:themeColor="text1"/>
                <w:spacing w:val="-4"/>
                <w:sz w:val="20"/>
                <w:szCs w:val="20"/>
              </w:rPr>
              <w:t xml:space="preserve">     (七)</w:t>
            </w:r>
            <w:r w:rsidR="00FC2622" w:rsidRPr="001E5DEC">
              <w:rPr>
                <w:rFonts w:ascii="新細明體" w:hAnsi="新細明體" w:cs="新細明體" w:hint="eastAsia"/>
                <w:color w:val="000000" w:themeColor="text1"/>
                <w:spacing w:val="-4"/>
                <w:sz w:val="20"/>
                <w:szCs w:val="20"/>
              </w:rPr>
              <w:t>對於內部人員委託買賣之相</w:t>
            </w:r>
            <w:r w:rsidR="00FC2622" w:rsidRPr="001E5DEC">
              <w:rPr>
                <w:rFonts w:ascii="新細明體" w:hAnsi="新細明體" w:cs="新細明體" w:hint="eastAsia"/>
                <w:color w:val="000000" w:themeColor="text1"/>
                <w:sz w:val="20"/>
                <w:szCs w:val="20"/>
              </w:rPr>
              <w:t>關憑證是否與其他客戶分別保管。</w:t>
            </w:r>
          </w:p>
          <w:p w:rsidR="00027986" w:rsidRPr="001E5DEC" w:rsidRDefault="00AC6240" w:rsidP="00AC6240">
            <w:pPr>
              <w:spacing w:line="260" w:lineRule="exact"/>
              <w:jc w:val="both"/>
              <w:rPr>
                <w:rFonts w:ascii="新細明體" w:hAnsi="新細明體"/>
                <w:color w:val="000000" w:themeColor="text1"/>
                <w:sz w:val="20"/>
                <w:szCs w:val="20"/>
              </w:rPr>
            </w:pPr>
            <w:r w:rsidRPr="001E5DEC">
              <w:rPr>
                <w:rFonts w:ascii="新細明體" w:hAnsi="新細明體" w:hint="eastAsia"/>
                <w:color w:val="000000" w:themeColor="text1"/>
                <w:sz w:val="20"/>
                <w:szCs w:val="20"/>
              </w:rPr>
              <w:t xml:space="preserve">     (八)</w:t>
            </w:r>
            <w:r w:rsidR="00FC2622" w:rsidRPr="001E5DEC">
              <w:rPr>
                <w:rFonts w:ascii="新細明體" w:hAnsi="新細明體" w:hint="eastAsia"/>
                <w:color w:val="000000" w:themeColor="text1"/>
                <w:sz w:val="20"/>
                <w:szCs w:val="20"/>
              </w:rPr>
              <w:t>公司之法人董事、監察人如係金融機構者，因從事</w:t>
            </w:r>
            <w:proofErr w:type="gramStart"/>
            <w:r w:rsidR="00FC2622" w:rsidRPr="001E5DEC">
              <w:rPr>
                <w:rFonts w:ascii="新細明體" w:hAnsi="新細明體" w:hint="eastAsia"/>
                <w:color w:val="000000" w:themeColor="text1"/>
                <w:sz w:val="20"/>
                <w:szCs w:val="20"/>
              </w:rPr>
              <w:t>信託或授信</w:t>
            </w:r>
            <w:proofErr w:type="gramEnd"/>
            <w:r w:rsidR="00FC2622" w:rsidRPr="001E5DEC">
              <w:rPr>
                <w:rFonts w:ascii="新細明體" w:hAnsi="新細明體" w:hint="eastAsia"/>
                <w:color w:val="000000" w:themeColor="text1"/>
                <w:sz w:val="20"/>
                <w:szCs w:val="20"/>
              </w:rPr>
              <w:t>業務需要，得於其</w:t>
            </w:r>
          </w:p>
          <w:p w:rsidR="00027986" w:rsidRPr="001E5DEC" w:rsidRDefault="00027986" w:rsidP="00AC6240">
            <w:pPr>
              <w:spacing w:line="260" w:lineRule="exact"/>
              <w:jc w:val="both"/>
              <w:rPr>
                <w:rFonts w:ascii="新細明體" w:hAnsi="新細明體" w:cs="細明體"/>
                <w:color w:val="000000" w:themeColor="text1"/>
                <w:sz w:val="20"/>
                <w:szCs w:val="20"/>
              </w:rPr>
            </w:pPr>
            <w:r w:rsidRPr="001E5DEC">
              <w:rPr>
                <w:rFonts w:ascii="新細明體" w:hAnsi="新細明體" w:hint="eastAsia"/>
                <w:color w:val="000000" w:themeColor="text1"/>
                <w:sz w:val="20"/>
                <w:szCs w:val="20"/>
              </w:rPr>
              <w:t xml:space="preserve">        </w:t>
            </w:r>
            <w:r w:rsidR="00FC2622" w:rsidRPr="001E5DEC">
              <w:rPr>
                <w:rFonts w:ascii="新細明體" w:hAnsi="新細明體" w:hint="eastAsia"/>
                <w:color w:val="000000" w:themeColor="text1"/>
                <w:sz w:val="20"/>
                <w:szCs w:val="20"/>
              </w:rPr>
              <w:t>他公司開立證券交易帳戶</w:t>
            </w:r>
            <w:r w:rsidR="00FC2622" w:rsidRPr="001E5DEC">
              <w:rPr>
                <w:rFonts w:ascii="新細明體" w:hAnsi="新細明體" w:cs="細明體" w:hint="eastAsia"/>
                <w:color w:val="000000" w:themeColor="text1"/>
                <w:sz w:val="20"/>
                <w:szCs w:val="20"/>
              </w:rPr>
              <w:t>，不受「證券商內部人員在所屬證券商開戶委託買賣有</w:t>
            </w:r>
          </w:p>
          <w:p w:rsidR="00027986" w:rsidRPr="001E5DEC" w:rsidRDefault="00027986" w:rsidP="00AC6240">
            <w:pPr>
              <w:spacing w:line="260" w:lineRule="exact"/>
              <w:jc w:val="both"/>
              <w:rPr>
                <w:rFonts w:ascii="新細明體" w:hAnsi="新細明體" w:cs="新細明體"/>
                <w:color w:val="000000" w:themeColor="text1"/>
                <w:sz w:val="20"/>
                <w:szCs w:val="20"/>
              </w:rPr>
            </w:pPr>
            <w:r w:rsidRPr="001E5DEC">
              <w:rPr>
                <w:rFonts w:ascii="新細明體" w:hAnsi="新細明體" w:cs="細明體" w:hint="eastAsia"/>
                <w:color w:val="000000" w:themeColor="text1"/>
                <w:sz w:val="20"/>
                <w:szCs w:val="20"/>
              </w:rPr>
              <w:t xml:space="preserve">        </w:t>
            </w:r>
            <w:r w:rsidR="00FC2622" w:rsidRPr="001E5DEC">
              <w:rPr>
                <w:rFonts w:ascii="新細明體" w:hAnsi="新細明體" w:cs="細明體" w:hint="eastAsia"/>
                <w:color w:val="000000" w:themeColor="text1"/>
                <w:sz w:val="20"/>
                <w:szCs w:val="20"/>
              </w:rPr>
              <w:t>價證券管理辦法</w:t>
            </w:r>
            <w:r w:rsidR="00FC2622" w:rsidRPr="001E5DEC">
              <w:rPr>
                <w:rFonts w:ascii="新細明體" w:hAnsi="新細明體" w:cs="細明體"/>
                <w:color w:val="000000" w:themeColor="text1"/>
                <w:sz w:val="20"/>
                <w:szCs w:val="20"/>
              </w:rPr>
              <w:t xml:space="preserve"> </w:t>
            </w:r>
            <w:r w:rsidR="00FC2622" w:rsidRPr="001E5DEC">
              <w:rPr>
                <w:rFonts w:ascii="新細明體" w:hAnsi="新細明體" w:cs="細明體" w:hint="eastAsia"/>
                <w:color w:val="000000" w:themeColor="text1"/>
                <w:sz w:val="20"/>
                <w:szCs w:val="20"/>
              </w:rPr>
              <w:t>」第</w:t>
            </w:r>
            <w:r w:rsidR="00FC2622" w:rsidRPr="001E5DEC">
              <w:rPr>
                <w:rFonts w:ascii="新細明體" w:hAnsi="新細明體" w:cs="細明體"/>
                <w:color w:val="000000" w:themeColor="text1"/>
                <w:sz w:val="20"/>
                <w:szCs w:val="20"/>
              </w:rPr>
              <w:t>2</w:t>
            </w:r>
            <w:r w:rsidR="00FC2622" w:rsidRPr="001E5DEC">
              <w:rPr>
                <w:rFonts w:ascii="新細明體" w:hAnsi="新細明體" w:cs="細明體" w:hint="eastAsia"/>
                <w:color w:val="000000" w:themeColor="text1"/>
                <w:sz w:val="20"/>
                <w:szCs w:val="20"/>
              </w:rPr>
              <w:t>條第</w:t>
            </w:r>
            <w:r w:rsidR="00FC2622" w:rsidRPr="001E5DEC">
              <w:rPr>
                <w:rFonts w:ascii="新細明體" w:hAnsi="新細明體" w:cs="細明體"/>
                <w:color w:val="000000" w:themeColor="text1"/>
                <w:sz w:val="20"/>
                <w:szCs w:val="20"/>
              </w:rPr>
              <w:t>2</w:t>
            </w:r>
            <w:r w:rsidR="00FC2622" w:rsidRPr="001E5DEC">
              <w:rPr>
                <w:rFonts w:ascii="新細明體" w:hAnsi="新細明體" w:cs="細明體" w:hint="eastAsia"/>
                <w:color w:val="000000" w:themeColor="text1"/>
                <w:sz w:val="20"/>
                <w:szCs w:val="20"/>
              </w:rPr>
              <w:t>項規定之限制，是否僅限</w:t>
            </w:r>
            <w:r w:rsidR="00FC2622" w:rsidRPr="001E5DEC">
              <w:rPr>
                <w:rFonts w:ascii="新細明體" w:hAnsi="新細明體" w:cs="新細明體" w:hint="eastAsia"/>
                <w:color w:val="000000" w:themeColor="text1"/>
                <w:sz w:val="20"/>
                <w:szCs w:val="20"/>
              </w:rPr>
              <w:t>為信託專戶或設質目的，</w:t>
            </w:r>
          </w:p>
          <w:p w:rsidR="00FC2622" w:rsidRPr="001E5DEC" w:rsidRDefault="00027986" w:rsidP="00AC6240">
            <w:pPr>
              <w:spacing w:line="260" w:lineRule="exact"/>
              <w:jc w:val="both"/>
              <w:rPr>
                <w:rFonts w:ascii="新細明體"/>
                <w:color w:val="000000" w:themeColor="text1"/>
                <w:sz w:val="20"/>
                <w:szCs w:val="20"/>
              </w:rPr>
            </w:pPr>
            <w:r w:rsidRPr="001E5DEC">
              <w:rPr>
                <w:rFonts w:ascii="新細明體" w:hAnsi="新細明體" w:cs="新細明體" w:hint="eastAsia"/>
                <w:color w:val="000000" w:themeColor="text1"/>
                <w:sz w:val="20"/>
                <w:szCs w:val="20"/>
              </w:rPr>
              <w:t xml:space="preserve">       </w:t>
            </w:r>
            <w:r w:rsidR="00FC2622" w:rsidRPr="001E5DEC">
              <w:rPr>
                <w:rFonts w:ascii="新細明體" w:hAnsi="新細明體" w:cs="新細明體" w:hint="eastAsia"/>
                <w:color w:val="000000" w:themeColor="text1"/>
                <w:sz w:val="20"/>
                <w:szCs w:val="20"/>
              </w:rPr>
              <w:t>且該等金融機構之自有資金不得於前揭帳戶從事交易。</w:t>
            </w:r>
          </w:p>
          <w:p w:rsidR="00FC2622" w:rsidRPr="001E5DEC" w:rsidRDefault="001C798E" w:rsidP="001E5DEC">
            <w:pPr>
              <w:numPr>
                <w:ilvl w:val="0"/>
                <w:numId w:val="4"/>
              </w:numPr>
              <w:spacing w:line="260" w:lineRule="exact"/>
              <w:jc w:val="both"/>
              <w:rPr>
                <w:rFonts w:ascii="新細明體"/>
                <w:color w:val="000000" w:themeColor="text1"/>
                <w:sz w:val="20"/>
                <w:szCs w:val="20"/>
              </w:rPr>
            </w:pPr>
            <w:r w:rsidRPr="001E5DEC">
              <w:rPr>
                <w:rFonts w:ascii="新細明體" w:hAnsi="新細明體" w:cs="新細明體" w:hint="eastAsia"/>
                <w:color w:val="000000" w:themeColor="text1"/>
                <w:sz w:val="20"/>
                <w:szCs w:val="20"/>
              </w:rPr>
              <w:t>公司</w:t>
            </w:r>
            <w:r w:rsidRPr="001E5DEC">
              <w:rPr>
                <w:rFonts w:asciiTheme="minorEastAsia" w:eastAsiaTheme="minorEastAsia" w:hAnsiTheme="minorEastAsia" w:cs="新細明體" w:hint="eastAsia"/>
                <w:color w:val="000000" w:themeColor="text1"/>
                <w:sz w:val="20"/>
                <w:szCs w:val="20"/>
              </w:rPr>
              <w:t>為外國證券商在台分公司者，是否未接受外國專業投資機構以公司之國外總機構為全權委託，並以</w:t>
            </w:r>
            <w:r w:rsidRPr="001E5DEC">
              <w:rPr>
                <w:rFonts w:asciiTheme="minorEastAsia" w:eastAsiaTheme="minorEastAsia" w:hAnsiTheme="minorEastAsia" w:cs="新細明體" w:hint="eastAsia"/>
                <w:strike/>
                <w:color w:val="000000" w:themeColor="text1"/>
                <w:sz w:val="20"/>
                <w:szCs w:val="20"/>
              </w:rPr>
              <w:t>其</w:t>
            </w:r>
            <w:r w:rsidRPr="001E5DEC">
              <w:rPr>
                <w:rFonts w:asciiTheme="minorEastAsia" w:eastAsiaTheme="minorEastAsia" w:hAnsiTheme="minorEastAsia" w:cs="新細明體" w:hint="eastAsia"/>
                <w:color w:val="000000" w:themeColor="text1"/>
                <w:sz w:val="20"/>
                <w:szCs w:val="20"/>
              </w:rPr>
              <w:t>總機構為代理人</w:t>
            </w:r>
            <w:r w:rsidRPr="001E5DEC">
              <w:rPr>
                <w:rFonts w:asciiTheme="minorEastAsia" w:eastAsiaTheme="minorEastAsia" w:hAnsiTheme="minorEastAsia" w:hint="eastAsia"/>
                <w:color w:val="000000" w:themeColor="text1"/>
                <w:sz w:val="20"/>
                <w:szCs w:val="20"/>
              </w:rPr>
              <w:t>。</w:t>
            </w:r>
          </w:p>
          <w:p w:rsidR="00FC2622" w:rsidRPr="001E5DEC" w:rsidRDefault="00FC2622" w:rsidP="001E5DEC">
            <w:pPr>
              <w:numPr>
                <w:ilvl w:val="0"/>
                <w:numId w:val="4"/>
              </w:numPr>
              <w:spacing w:line="260" w:lineRule="exact"/>
              <w:jc w:val="both"/>
              <w:rPr>
                <w:rFonts w:ascii="新細明體"/>
                <w:color w:val="000000" w:themeColor="text1"/>
                <w:sz w:val="20"/>
                <w:szCs w:val="20"/>
              </w:rPr>
            </w:pPr>
            <w:r w:rsidRPr="001E5DEC">
              <w:rPr>
                <w:rFonts w:ascii="新細明體" w:hAnsi="新細明體" w:cs="新細明體" w:hint="eastAsia"/>
                <w:color w:val="000000" w:themeColor="text1"/>
                <w:sz w:val="20"/>
                <w:szCs w:val="20"/>
              </w:rPr>
              <w:t>受託買賣認購</w:t>
            </w:r>
            <w:r w:rsidRPr="001E5DEC">
              <w:rPr>
                <w:rFonts w:ascii="新細明體" w:hAnsi="新細明體" w:cs="新細明體"/>
                <w:color w:val="000000" w:themeColor="text1"/>
                <w:sz w:val="20"/>
                <w:szCs w:val="20"/>
              </w:rPr>
              <w:t>(</w:t>
            </w:r>
            <w:r w:rsidRPr="001E5DEC">
              <w:rPr>
                <w:rFonts w:ascii="新細明體" w:hAnsi="新細明體" w:cs="新細明體" w:hint="eastAsia"/>
                <w:color w:val="000000" w:themeColor="text1"/>
                <w:sz w:val="20"/>
                <w:szCs w:val="20"/>
              </w:rPr>
              <w:t>售</w:t>
            </w:r>
            <w:r w:rsidRPr="001E5DEC">
              <w:rPr>
                <w:rFonts w:ascii="新細明體" w:hAnsi="新細明體" w:cs="新細明體"/>
                <w:color w:val="000000" w:themeColor="text1"/>
                <w:sz w:val="20"/>
                <w:szCs w:val="20"/>
              </w:rPr>
              <w:t>)</w:t>
            </w:r>
            <w:r w:rsidRPr="001E5DEC">
              <w:rPr>
                <w:rFonts w:ascii="新細明體" w:hAnsi="新細明體" w:cs="新細明體" w:hint="eastAsia"/>
                <w:color w:val="000000" w:themeColor="text1"/>
                <w:sz w:val="20"/>
                <w:szCs w:val="20"/>
              </w:rPr>
              <w:t>權證：</w:t>
            </w:r>
          </w:p>
          <w:p w:rsidR="00FC2622" w:rsidRPr="001E5DEC" w:rsidRDefault="00FC2622" w:rsidP="001E5DEC">
            <w:pPr>
              <w:numPr>
                <w:ilvl w:val="1"/>
                <w:numId w:val="4"/>
              </w:numPr>
              <w:spacing w:line="260" w:lineRule="exact"/>
              <w:ind w:hanging="463"/>
              <w:jc w:val="both"/>
              <w:rPr>
                <w:rFonts w:ascii="新細明體"/>
                <w:color w:val="000000" w:themeColor="text1"/>
                <w:sz w:val="20"/>
                <w:szCs w:val="20"/>
              </w:rPr>
            </w:pPr>
            <w:r w:rsidRPr="001E5DEC">
              <w:rPr>
                <w:rFonts w:ascii="新細明體" w:hAnsi="新細明體" w:cs="新細明體" w:hint="eastAsia"/>
                <w:color w:val="000000" w:themeColor="text1"/>
                <w:sz w:val="20"/>
                <w:szCs w:val="20"/>
              </w:rPr>
              <w:t>客戶買賣認購</w:t>
            </w:r>
            <w:r w:rsidRPr="001E5DEC">
              <w:rPr>
                <w:rFonts w:ascii="新細明體" w:hAnsi="新細明體" w:cs="新細明體"/>
                <w:color w:val="000000" w:themeColor="text1"/>
                <w:sz w:val="20"/>
                <w:szCs w:val="20"/>
              </w:rPr>
              <w:t>(</w:t>
            </w:r>
            <w:r w:rsidRPr="001E5DEC">
              <w:rPr>
                <w:rFonts w:ascii="新細明體" w:hAnsi="新細明體" w:cs="新細明體" w:hint="eastAsia"/>
                <w:color w:val="000000" w:themeColor="text1"/>
                <w:sz w:val="20"/>
                <w:szCs w:val="20"/>
              </w:rPr>
              <w:t>售</w:t>
            </w:r>
            <w:r w:rsidRPr="001E5DEC">
              <w:rPr>
                <w:rFonts w:ascii="新細明體" w:hAnsi="新細明體" w:cs="新細明體"/>
                <w:color w:val="000000" w:themeColor="text1"/>
                <w:sz w:val="20"/>
                <w:szCs w:val="20"/>
              </w:rPr>
              <w:t>)</w:t>
            </w:r>
            <w:r w:rsidRPr="001E5DEC">
              <w:rPr>
                <w:rFonts w:ascii="新細明體" w:hAnsi="新細明體" w:cs="新細明體" w:hint="eastAsia"/>
                <w:color w:val="000000" w:themeColor="text1"/>
                <w:sz w:val="20"/>
                <w:szCs w:val="20"/>
              </w:rPr>
              <w:t>權證時，除專業機構投資人外，是否已簽具風險預告書。</w:t>
            </w:r>
          </w:p>
          <w:p w:rsidR="00FC2622" w:rsidRPr="001E5DEC" w:rsidRDefault="00FC2622" w:rsidP="001E5DEC">
            <w:pPr>
              <w:numPr>
                <w:ilvl w:val="1"/>
                <w:numId w:val="4"/>
              </w:numPr>
              <w:spacing w:line="260" w:lineRule="exact"/>
              <w:ind w:left="834" w:hanging="350"/>
              <w:jc w:val="both"/>
              <w:rPr>
                <w:rFonts w:ascii="新細明體"/>
                <w:color w:val="000000" w:themeColor="text1"/>
                <w:sz w:val="20"/>
                <w:szCs w:val="20"/>
              </w:rPr>
            </w:pPr>
            <w:r w:rsidRPr="001E5DEC">
              <w:rPr>
                <w:rFonts w:ascii="新細明體" w:hAnsi="新細明體" w:cs="新細明體" w:hint="eastAsia"/>
                <w:color w:val="000000" w:themeColor="text1"/>
                <w:sz w:val="20"/>
                <w:szCs w:val="20"/>
              </w:rPr>
              <w:t>認購</w:t>
            </w:r>
            <w:r w:rsidRPr="001E5DEC">
              <w:rPr>
                <w:rFonts w:ascii="新細明體" w:hAnsi="新細明體" w:cs="新細明體"/>
                <w:color w:val="000000" w:themeColor="text1"/>
                <w:sz w:val="20"/>
                <w:szCs w:val="20"/>
              </w:rPr>
              <w:t>(</w:t>
            </w:r>
            <w:r w:rsidRPr="001E5DEC">
              <w:rPr>
                <w:rFonts w:ascii="新細明體" w:hAnsi="新細明體" w:cs="新細明體" w:hint="eastAsia"/>
                <w:color w:val="000000" w:themeColor="text1"/>
                <w:sz w:val="20"/>
                <w:szCs w:val="20"/>
              </w:rPr>
              <w:t>售</w:t>
            </w:r>
            <w:r w:rsidRPr="001E5DEC">
              <w:rPr>
                <w:rFonts w:ascii="新細明體" w:hAnsi="新細明體" w:cs="新細明體"/>
                <w:color w:val="000000" w:themeColor="text1"/>
                <w:sz w:val="20"/>
                <w:szCs w:val="20"/>
              </w:rPr>
              <w:t>)</w:t>
            </w:r>
            <w:r w:rsidRPr="001E5DEC">
              <w:rPr>
                <w:rFonts w:ascii="新細明體" w:hAnsi="新細明體" w:cs="新細明體" w:hint="eastAsia"/>
                <w:color w:val="000000" w:themeColor="text1"/>
                <w:sz w:val="20"/>
                <w:szCs w:val="20"/>
              </w:rPr>
              <w:t>權證之標的證券，其</w:t>
            </w:r>
            <w:r w:rsidRPr="001E5DEC">
              <w:rPr>
                <w:rFonts w:ascii="新細明體" w:hAnsi="新細明體" w:cs="新細明體" w:hint="eastAsia"/>
                <w:color w:val="000000" w:themeColor="text1"/>
                <w:spacing w:val="-4"/>
                <w:sz w:val="20"/>
                <w:szCs w:val="20"/>
              </w:rPr>
              <w:t>法令訂有華僑及外國人投資比例上限者，華僑及外國人投資於該標的證券之認購</w:t>
            </w:r>
            <w:r w:rsidRPr="001E5DEC">
              <w:rPr>
                <w:rFonts w:ascii="新細明體" w:hAnsi="新細明體" w:cs="新細明體"/>
                <w:color w:val="000000" w:themeColor="text1"/>
                <w:spacing w:val="-4"/>
                <w:sz w:val="20"/>
                <w:szCs w:val="20"/>
              </w:rPr>
              <w:t>(</w:t>
            </w:r>
            <w:r w:rsidRPr="001E5DEC">
              <w:rPr>
                <w:rFonts w:ascii="新細明體" w:hAnsi="新細明體" w:cs="新細明體" w:hint="eastAsia"/>
                <w:color w:val="000000" w:themeColor="text1"/>
                <w:spacing w:val="-4"/>
                <w:sz w:val="20"/>
                <w:szCs w:val="20"/>
              </w:rPr>
              <w:t>售</w:t>
            </w:r>
            <w:r w:rsidRPr="001E5DEC">
              <w:rPr>
                <w:rFonts w:ascii="新細明體" w:hAnsi="新細明體" w:cs="新細明體"/>
                <w:color w:val="000000" w:themeColor="text1"/>
                <w:spacing w:val="-4"/>
                <w:sz w:val="20"/>
                <w:szCs w:val="20"/>
              </w:rPr>
              <w:t>)</w:t>
            </w:r>
            <w:r w:rsidRPr="001E5DEC">
              <w:rPr>
                <w:rFonts w:ascii="新細明體" w:hAnsi="新細明體" w:cs="新細明體" w:hint="eastAsia"/>
                <w:color w:val="000000" w:themeColor="text1"/>
                <w:spacing w:val="-4"/>
                <w:sz w:val="20"/>
                <w:szCs w:val="20"/>
              </w:rPr>
              <w:t>權證，是否限以現金結算型為之；組合式認購</w:t>
            </w:r>
            <w:r w:rsidRPr="001E5DEC">
              <w:rPr>
                <w:rFonts w:ascii="新細明體" w:hAnsi="新細明體" w:cs="新細明體"/>
                <w:color w:val="000000" w:themeColor="text1"/>
                <w:spacing w:val="-4"/>
                <w:sz w:val="20"/>
                <w:szCs w:val="20"/>
              </w:rPr>
              <w:t>(</w:t>
            </w:r>
            <w:r w:rsidRPr="001E5DEC">
              <w:rPr>
                <w:rFonts w:ascii="新細明體" w:hAnsi="新細明體" w:cs="新細明體" w:hint="eastAsia"/>
                <w:color w:val="000000" w:themeColor="text1"/>
                <w:spacing w:val="-4"/>
                <w:sz w:val="20"/>
                <w:szCs w:val="20"/>
              </w:rPr>
              <w:t>售</w:t>
            </w:r>
            <w:r w:rsidRPr="001E5DEC">
              <w:rPr>
                <w:rFonts w:ascii="新細明體" w:hAnsi="新細明體" w:cs="新細明體"/>
                <w:color w:val="000000" w:themeColor="text1"/>
                <w:spacing w:val="-4"/>
                <w:sz w:val="20"/>
                <w:szCs w:val="20"/>
              </w:rPr>
              <w:t>)</w:t>
            </w:r>
            <w:r w:rsidRPr="001E5DEC">
              <w:rPr>
                <w:rFonts w:ascii="新細明體" w:hAnsi="新細明體" w:cs="新細明體" w:hint="eastAsia"/>
                <w:color w:val="000000" w:themeColor="text1"/>
                <w:spacing w:val="-4"/>
                <w:sz w:val="20"/>
                <w:szCs w:val="20"/>
              </w:rPr>
              <w:t>權證如含有上開法令限制上限之標的證券者，亦同。</w:t>
            </w:r>
          </w:p>
        </w:tc>
        <w:tc>
          <w:tcPr>
            <w:tcW w:w="567" w:type="dxa"/>
          </w:tcPr>
          <w:p w:rsidR="00FC2622" w:rsidRPr="001E5DEC" w:rsidRDefault="00FC2622" w:rsidP="00131664">
            <w:pPr>
              <w:spacing w:line="260" w:lineRule="exact"/>
              <w:jc w:val="center"/>
              <w:rPr>
                <w:rFonts w:ascii="新細明體"/>
                <w:dstrike/>
                <w:color w:val="000000" w:themeColor="text1"/>
                <w:spacing w:val="24"/>
                <w:kern w:val="2"/>
              </w:rPr>
            </w:pPr>
          </w:p>
        </w:tc>
        <w:tc>
          <w:tcPr>
            <w:tcW w:w="567" w:type="dxa"/>
          </w:tcPr>
          <w:p w:rsidR="00FC2622" w:rsidRPr="001E5DEC" w:rsidRDefault="00FC2622">
            <w:pPr>
              <w:spacing w:line="260" w:lineRule="exact"/>
              <w:jc w:val="center"/>
              <w:rPr>
                <w:rFonts w:ascii="新細明體"/>
                <w:dstrike/>
                <w:color w:val="000000" w:themeColor="text1"/>
                <w:spacing w:val="24"/>
                <w:kern w:val="2"/>
              </w:rPr>
            </w:pPr>
          </w:p>
        </w:tc>
        <w:tc>
          <w:tcPr>
            <w:tcW w:w="1134" w:type="dxa"/>
          </w:tcPr>
          <w:p w:rsidR="00FC2622" w:rsidRPr="001E5DEC" w:rsidRDefault="00FC2622">
            <w:pPr>
              <w:spacing w:line="260" w:lineRule="exact"/>
              <w:jc w:val="center"/>
              <w:rPr>
                <w:rFonts w:ascii="新細明體"/>
                <w:dstrike/>
                <w:color w:val="000000" w:themeColor="text1"/>
                <w:spacing w:val="24"/>
                <w:kern w:val="2"/>
              </w:rPr>
            </w:pPr>
          </w:p>
        </w:tc>
        <w:tc>
          <w:tcPr>
            <w:tcW w:w="1985" w:type="dxa"/>
            <w:tcBorders>
              <w:right w:val="single" w:sz="12" w:space="0" w:color="auto"/>
            </w:tcBorders>
          </w:tcPr>
          <w:p w:rsidR="00FC2622" w:rsidRPr="001E5DEC" w:rsidRDefault="00FC2622">
            <w:pPr>
              <w:spacing w:line="300" w:lineRule="exact"/>
              <w:rPr>
                <w:color w:val="000000" w:themeColor="text1"/>
              </w:rPr>
            </w:pPr>
          </w:p>
          <w:p w:rsidR="003226A7" w:rsidRPr="001E5DEC" w:rsidRDefault="003226A7">
            <w:pPr>
              <w:spacing w:line="300" w:lineRule="exact"/>
              <w:rPr>
                <w:color w:val="000000" w:themeColor="text1"/>
              </w:rPr>
            </w:pPr>
          </w:p>
          <w:p w:rsidR="003226A7" w:rsidRPr="001E5DEC" w:rsidRDefault="003226A7">
            <w:pPr>
              <w:spacing w:line="300" w:lineRule="exact"/>
              <w:rPr>
                <w:color w:val="000000" w:themeColor="text1"/>
              </w:rPr>
            </w:pPr>
          </w:p>
          <w:p w:rsidR="003226A7" w:rsidRPr="001E5DEC" w:rsidRDefault="003226A7">
            <w:pPr>
              <w:spacing w:line="300" w:lineRule="exact"/>
              <w:rPr>
                <w:color w:val="000000" w:themeColor="text1"/>
              </w:rPr>
            </w:pPr>
          </w:p>
          <w:p w:rsidR="003226A7" w:rsidRPr="001E5DEC" w:rsidRDefault="003226A7">
            <w:pPr>
              <w:spacing w:line="300" w:lineRule="exact"/>
              <w:rPr>
                <w:color w:val="000000" w:themeColor="text1"/>
              </w:rPr>
            </w:pPr>
          </w:p>
          <w:p w:rsidR="003226A7" w:rsidRPr="001E5DEC" w:rsidRDefault="003226A7">
            <w:pPr>
              <w:spacing w:line="300" w:lineRule="exact"/>
              <w:rPr>
                <w:color w:val="000000" w:themeColor="text1"/>
              </w:rPr>
            </w:pPr>
          </w:p>
          <w:p w:rsidR="003226A7" w:rsidRPr="001E5DEC" w:rsidRDefault="003226A7">
            <w:pPr>
              <w:spacing w:line="300" w:lineRule="exact"/>
              <w:rPr>
                <w:color w:val="000000" w:themeColor="text1"/>
              </w:rPr>
            </w:pPr>
          </w:p>
          <w:p w:rsidR="00CE0581" w:rsidRPr="001E5DEC" w:rsidRDefault="00CE0581">
            <w:pPr>
              <w:spacing w:line="300" w:lineRule="exact"/>
              <w:rPr>
                <w:color w:val="000000" w:themeColor="text1"/>
              </w:rPr>
            </w:pPr>
          </w:p>
          <w:p w:rsidR="006022CC" w:rsidRPr="001E5DEC" w:rsidRDefault="006022CC">
            <w:pPr>
              <w:spacing w:line="300" w:lineRule="exact"/>
              <w:rPr>
                <w:rFonts w:ascii="新細明體" w:hAnsi="新細明體" w:cs="新細明體"/>
                <w:color w:val="000000" w:themeColor="text1"/>
                <w:spacing w:val="-4"/>
                <w:sz w:val="20"/>
                <w:szCs w:val="20"/>
              </w:rPr>
            </w:pPr>
            <w:r w:rsidRPr="001E5DEC">
              <w:rPr>
                <w:rFonts w:ascii="新細明體" w:hAnsi="新細明體" w:cs="新細明體" w:hint="eastAsia"/>
                <w:color w:val="000000" w:themeColor="text1"/>
                <w:spacing w:val="-4"/>
                <w:sz w:val="20"/>
                <w:szCs w:val="20"/>
              </w:rPr>
              <w:t>稽核人員依底稿</w:t>
            </w:r>
            <w:r w:rsidR="006059E4" w:rsidRPr="006059E4">
              <w:rPr>
                <w:rFonts w:ascii="新細明體" w:hAnsi="新細明體" w:cs="新細明體"/>
                <w:color w:val="000000" w:themeColor="text1"/>
                <w:spacing w:val="-4"/>
                <w:sz w:val="20"/>
                <w:szCs w:val="20"/>
              </w:rPr>
              <w:t>WA-11210-W-2</w:t>
            </w:r>
            <w:r w:rsidR="006059E4">
              <w:rPr>
                <w:rFonts w:ascii="新細明體" w:hAnsi="新細明體" w:cs="新細明體" w:hint="eastAsia"/>
                <w:color w:val="000000" w:themeColor="text1"/>
                <w:spacing w:val="-4"/>
                <w:sz w:val="20"/>
                <w:szCs w:val="20"/>
              </w:rPr>
              <w:t>~5</w:t>
            </w:r>
            <w:bookmarkStart w:id="0" w:name="_GoBack"/>
            <w:bookmarkEnd w:id="0"/>
            <w:r w:rsidRPr="001E5DEC">
              <w:rPr>
                <w:rFonts w:ascii="新細明體" w:hAnsi="新細明體" w:cs="新細明體" w:hint="eastAsia"/>
                <w:color w:val="000000" w:themeColor="text1"/>
                <w:spacing w:val="-4"/>
                <w:sz w:val="20"/>
                <w:szCs w:val="20"/>
              </w:rPr>
              <w:t>執行查核。</w:t>
            </w:r>
          </w:p>
          <w:p w:rsidR="00E60BCE" w:rsidRPr="001E5DEC" w:rsidRDefault="00E60BCE" w:rsidP="001E5DEC">
            <w:pPr>
              <w:adjustRightInd/>
              <w:spacing w:line="240" w:lineRule="auto"/>
              <w:textAlignment w:val="auto"/>
              <w:rPr>
                <w:color w:val="000000" w:themeColor="text1"/>
              </w:rPr>
            </w:pPr>
          </w:p>
        </w:tc>
      </w:tr>
      <w:tr w:rsidR="00FC2622" w:rsidRPr="002A483C" w:rsidTr="00131664">
        <w:trPr>
          <w:cantSplit/>
          <w:trHeight w:val="451"/>
        </w:trPr>
        <w:tc>
          <w:tcPr>
            <w:tcW w:w="14176" w:type="dxa"/>
            <w:gridSpan w:val="6"/>
            <w:tcBorders>
              <w:left w:val="single" w:sz="12" w:space="0" w:color="auto"/>
              <w:bottom w:val="single" w:sz="12" w:space="0" w:color="auto"/>
              <w:right w:val="single" w:sz="12" w:space="0" w:color="auto"/>
            </w:tcBorders>
          </w:tcPr>
          <w:p w:rsidR="00FC2622" w:rsidRPr="002A483C" w:rsidRDefault="00FC2622" w:rsidP="00FC2622">
            <w:pPr>
              <w:ind w:firstLine="180"/>
            </w:pPr>
            <w:r w:rsidRPr="002A483C">
              <w:rPr>
                <w:rFonts w:cs="新細明體" w:hint="eastAsia"/>
                <w:spacing w:val="24"/>
              </w:rPr>
              <w:t>備</w:t>
            </w:r>
            <w:r w:rsidRPr="002A483C">
              <w:rPr>
                <w:spacing w:val="24"/>
              </w:rPr>
              <w:t xml:space="preserve">  </w:t>
            </w:r>
            <w:proofErr w:type="gramStart"/>
            <w:r w:rsidRPr="002A483C">
              <w:rPr>
                <w:rFonts w:cs="新細明體" w:hint="eastAsia"/>
                <w:spacing w:val="24"/>
              </w:rPr>
              <w:t>註</w:t>
            </w:r>
            <w:proofErr w:type="gramEnd"/>
            <w:r w:rsidRPr="002A483C">
              <w:rPr>
                <w:rFonts w:cs="新細明體" w:hint="eastAsia"/>
                <w:spacing w:val="24"/>
              </w:rPr>
              <w:t>：</w:t>
            </w:r>
            <w:r w:rsidRPr="002A483C">
              <w:t xml:space="preserve"> </w:t>
            </w:r>
          </w:p>
        </w:tc>
      </w:tr>
    </w:tbl>
    <w:p w:rsidR="00FC2622" w:rsidRPr="002A483C" w:rsidRDefault="00FC2622">
      <w:pPr>
        <w:spacing w:line="500" w:lineRule="atLeast"/>
        <w:ind w:firstLine="9240"/>
        <w:jc w:val="both"/>
      </w:pPr>
      <w:r w:rsidRPr="002A483C">
        <w:rPr>
          <w:rFonts w:cs="新細明體" w:hint="eastAsia"/>
          <w:spacing w:val="24"/>
        </w:rPr>
        <w:t>稽核人員</w:t>
      </w:r>
      <w:r w:rsidRPr="002A483C">
        <w:rPr>
          <w:spacing w:val="24"/>
        </w:rPr>
        <w:t xml:space="preserve"> </w:t>
      </w:r>
      <w:r w:rsidRPr="002A483C">
        <w:rPr>
          <w:rFonts w:cs="新細明體" w:hint="eastAsia"/>
          <w:spacing w:val="24"/>
        </w:rPr>
        <w:t xml:space="preserve">　　　　</w:t>
      </w:r>
      <w:r w:rsidRPr="002A483C">
        <w:rPr>
          <w:spacing w:val="24"/>
        </w:rPr>
        <w:t xml:space="preserve"> </w:t>
      </w:r>
      <w:r w:rsidRPr="002A483C">
        <w:rPr>
          <w:rFonts w:cs="新細明體" w:hint="eastAsia"/>
          <w:spacing w:val="24"/>
        </w:rPr>
        <w:t>日</w:t>
      </w:r>
      <w:r w:rsidRPr="002A483C">
        <w:rPr>
          <w:spacing w:val="24"/>
        </w:rPr>
        <w:t xml:space="preserve"> </w:t>
      </w:r>
      <w:r w:rsidRPr="002A483C">
        <w:rPr>
          <w:rFonts w:cs="新細明體" w:hint="eastAsia"/>
          <w:spacing w:val="24"/>
        </w:rPr>
        <w:t>期</w:t>
      </w:r>
      <w:r w:rsidRPr="002A483C">
        <w:rPr>
          <w:spacing w:val="24"/>
        </w:rPr>
        <w:t xml:space="preserve"> </w:t>
      </w:r>
      <w:r w:rsidRPr="002A483C">
        <w:rPr>
          <w:rFonts w:cs="新細明體" w:hint="eastAsia"/>
          <w:spacing w:val="24"/>
        </w:rPr>
        <w:t xml:space="preserve">　　　　</w:t>
      </w:r>
    </w:p>
    <w:sectPr w:rsidR="00FC2622" w:rsidRPr="002A483C" w:rsidSect="004F2206">
      <w:footerReference w:type="default" r:id="rId8"/>
      <w:pgSz w:w="16840" w:h="11907" w:orient="landscape" w:code="9"/>
      <w:pgMar w:top="680" w:right="1418" w:bottom="232" w:left="1418" w:header="567" w:footer="454" w:gutter="0"/>
      <w:cols w:space="425"/>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34C49" w:rsidRDefault="00034C49">
      <w:pPr>
        <w:spacing w:line="240" w:lineRule="auto"/>
      </w:pPr>
      <w:r>
        <w:separator/>
      </w:r>
    </w:p>
  </w:endnote>
  <w:endnote w:type="continuationSeparator" w:id="0">
    <w:p w:rsidR="00034C49" w:rsidRDefault="00034C4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A00002EF" w:usb1="4000004B" w:usb2="00000000" w:usb3="00000000" w:csb0="0000019F" w:csb1="00000000"/>
  </w:font>
  <w:font w:name="細明體">
    <w:altName w:val="MingLiU"/>
    <w:panose1 w:val="02020509000000000000"/>
    <w:charset w:val="88"/>
    <w:family w:val="modern"/>
    <w:pitch w:val="fixed"/>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C2622" w:rsidRPr="001E5DEC" w:rsidRDefault="001E5DEC">
    <w:pPr>
      <w:pStyle w:val="a5"/>
      <w:jc w:val="center"/>
      <w:rPr>
        <w:strike/>
        <w:sz w:val="24"/>
        <w:szCs w:val="24"/>
      </w:rPr>
    </w:pPr>
    <w:r w:rsidRPr="001E5DEC">
      <w:rPr>
        <w:rFonts w:hint="eastAsia"/>
        <w:sz w:val="24"/>
        <w:szCs w:val="24"/>
      </w:rPr>
      <w:t xml:space="preserve">FA-11210-W-4 </w:t>
    </w:r>
    <w:r w:rsidR="00FC2622" w:rsidRPr="001E5DEC">
      <w:rPr>
        <w:strike/>
        <w:sz w:val="24"/>
        <w:szCs w:val="24"/>
      </w:rPr>
      <w:t>I-24</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34C49" w:rsidRDefault="00034C49">
      <w:pPr>
        <w:spacing w:line="240" w:lineRule="auto"/>
      </w:pPr>
      <w:r>
        <w:separator/>
      </w:r>
    </w:p>
  </w:footnote>
  <w:footnote w:type="continuationSeparator" w:id="0">
    <w:p w:rsidR="00034C49" w:rsidRDefault="00034C49">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456E95"/>
    <w:multiLevelType w:val="multilevel"/>
    <w:tmpl w:val="B6CA0B96"/>
    <w:lvl w:ilvl="0">
      <w:start w:val="4"/>
      <w:numFmt w:val="taiwaneseCountingThousand"/>
      <w:suff w:val="nothing"/>
      <w:lvlText w:val="%1、"/>
      <w:lvlJc w:val="left"/>
      <w:pPr>
        <w:ind w:left="454" w:hanging="454"/>
      </w:pPr>
      <w:rPr>
        <w:rFonts w:ascii="Times New Roman" w:hAnsi="Times New Roman" w:cs="Times New Roman" w:hint="eastAsia"/>
        <w:sz w:val="20"/>
        <w:szCs w:val="20"/>
      </w:rPr>
    </w:lvl>
    <w:lvl w:ilvl="1">
      <w:start w:val="1"/>
      <w:numFmt w:val="taiwaneseCountingThousand"/>
      <w:suff w:val="nothing"/>
      <w:lvlText w:val="(%2)"/>
      <w:lvlJc w:val="left"/>
      <w:pPr>
        <w:ind w:left="947" w:hanging="380"/>
      </w:pPr>
      <w:rPr>
        <w:rFonts w:ascii="Times New Roman" w:hAnsi="Times New Roman" w:cs="Times New Roman" w:hint="eastAsia"/>
      </w:rPr>
    </w:lvl>
    <w:lvl w:ilvl="2">
      <w:start w:val="1"/>
      <w:numFmt w:val="decimal"/>
      <w:suff w:val="nothing"/>
      <w:lvlText w:val="%3."/>
      <w:lvlJc w:val="left"/>
      <w:pPr>
        <w:ind w:left="1304" w:hanging="170"/>
      </w:pPr>
      <w:rPr>
        <w:rFonts w:ascii="Times New Roman" w:hAnsi="Times New Roman" w:cs="Times New Roman" w:hint="eastAsia"/>
        <w:color w:val="000000" w:themeColor="text1"/>
        <w:u w:val="none"/>
      </w:rPr>
    </w:lvl>
    <w:lvl w:ilvl="3">
      <w:start w:val="1"/>
      <w:numFmt w:val="taiwaneseCountingThousand"/>
      <w:suff w:val="nothing"/>
      <w:lvlText w:val="%4、"/>
      <w:lvlJc w:val="left"/>
      <w:pPr>
        <w:ind w:left="1984" w:hanging="708"/>
      </w:pPr>
      <w:rPr>
        <w:rFonts w:ascii="Times New Roman" w:hAnsi="Times New Roman" w:cs="Times New Roman" w:hint="eastAsia"/>
      </w:rPr>
    </w:lvl>
    <w:lvl w:ilvl="4">
      <w:start w:val="1"/>
      <w:numFmt w:val="decimal"/>
      <w:lvlText w:val="%5."/>
      <w:lvlJc w:val="left"/>
      <w:pPr>
        <w:tabs>
          <w:tab w:val="num" w:pos="2551"/>
        </w:tabs>
        <w:ind w:left="2551" w:hanging="850"/>
      </w:pPr>
      <w:rPr>
        <w:rFonts w:ascii="Times New Roman" w:hAnsi="Times New Roman" w:cs="Times New Roman" w:hint="eastAsia"/>
      </w:rPr>
    </w:lvl>
    <w:lvl w:ilvl="5">
      <w:start w:val="1"/>
      <w:numFmt w:val="decimal"/>
      <w:lvlText w:val="%6)"/>
      <w:lvlJc w:val="left"/>
      <w:pPr>
        <w:tabs>
          <w:tab w:val="num" w:pos="3260"/>
        </w:tabs>
        <w:ind w:left="3260" w:hanging="1134"/>
      </w:pPr>
      <w:rPr>
        <w:rFonts w:ascii="Times New Roman" w:hAnsi="Times New Roman" w:cs="Times New Roman" w:hint="eastAsia"/>
      </w:rPr>
    </w:lvl>
    <w:lvl w:ilvl="6">
      <w:start w:val="1"/>
      <w:numFmt w:val="decimal"/>
      <w:lvlText w:val="(%7)"/>
      <w:lvlJc w:val="left"/>
      <w:pPr>
        <w:tabs>
          <w:tab w:val="num" w:pos="3827"/>
        </w:tabs>
        <w:ind w:left="3827" w:hanging="1276"/>
      </w:pPr>
      <w:rPr>
        <w:rFonts w:ascii="Times New Roman" w:hAnsi="Times New Roman" w:cs="Times New Roman" w:hint="eastAsia"/>
      </w:rPr>
    </w:lvl>
    <w:lvl w:ilvl="7">
      <w:start w:val="1"/>
      <w:numFmt w:val="lowerLetter"/>
      <w:lvlText w:val="%8."/>
      <w:lvlJc w:val="left"/>
      <w:pPr>
        <w:tabs>
          <w:tab w:val="num" w:pos="4394"/>
        </w:tabs>
        <w:ind w:left="4394" w:hanging="1418"/>
      </w:pPr>
      <w:rPr>
        <w:rFonts w:ascii="Times New Roman" w:hAnsi="Times New Roman" w:cs="Times New Roman" w:hint="eastAsia"/>
      </w:rPr>
    </w:lvl>
    <w:lvl w:ilvl="8">
      <w:start w:val="1"/>
      <w:numFmt w:val="lowerLetter"/>
      <w:lvlText w:val="%9)"/>
      <w:lvlJc w:val="left"/>
      <w:pPr>
        <w:tabs>
          <w:tab w:val="num" w:pos="5102"/>
        </w:tabs>
        <w:ind w:left="5102" w:hanging="1700"/>
      </w:pPr>
      <w:rPr>
        <w:rFonts w:ascii="Times New Roman" w:hAnsi="Times New Roman" w:cs="Times New Roman" w:hint="eastAsia"/>
      </w:rPr>
    </w:lvl>
  </w:abstractNum>
  <w:abstractNum w:abstractNumId="1" w15:restartNumberingAfterBreak="0">
    <w:nsid w:val="68E449C8"/>
    <w:multiLevelType w:val="multilevel"/>
    <w:tmpl w:val="2E8648D2"/>
    <w:lvl w:ilvl="0">
      <w:start w:val="3"/>
      <w:numFmt w:val="taiwaneseCountingThousand"/>
      <w:suff w:val="space"/>
      <w:lvlText w:val="%1、"/>
      <w:lvlJc w:val="left"/>
      <w:pPr>
        <w:ind w:left="510" w:hanging="510"/>
      </w:pPr>
      <w:rPr>
        <w:rFonts w:ascii="Times New Roman" w:hAnsi="Times New Roman" w:cs="Times New Roman" w:hint="eastAsia"/>
      </w:rPr>
    </w:lvl>
    <w:lvl w:ilvl="1">
      <w:start w:val="1"/>
      <w:numFmt w:val="taiwaneseCountingThousand"/>
      <w:suff w:val="space"/>
      <w:lvlText w:val="(%2)"/>
      <w:lvlJc w:val="left"/>
      <w:pPr>
        <w:ind w:left="1009" w:hanging="442"/>
      </w:pPr>
      <w:rPr>
        <w:rFonts w:ascii="Times New Roman" w:hAnsi="Times New Roman" w:cs="Times New Roman" w:hint="eastAsia"/>
      </w:rPr>
    </w:lvl>
    <w:lvl w:ilvl="2">
      <w:start w:val="1"/>
      <w:numFmt w:val="decimal"/>
      <w:lvlText w:val="%3."/>
      <w:lvlJc w:val="left"/>
      <w:pPr>
        <w:tabs>
          <w:tab w:val="num" w:pos="1588"/>
        </w:tabs>
        <w:ind w:left="1588" w:hanging="454"/>
      </w:pPr>
      <w:rPr>
        <w:rFonts w:ascii="Times New Roman" w:hAnsi="Times New Roman" w:cs="Times New Roman" w:hint="eastAsia"/>
      </w:rPr>
    </w:lvl>
    <w:lvl w:ilvl="3">
      <w:start w:val="1"/>
      <w:numFmt w:val="decimal"/>
      <w:lvlText w:val="(%4) "/>
      <w:lvlJc w:val="left"/>
      <w:pPr>
        <w:tabs>
          <w:tab w:val="num" w:pos="2126"/>
        </w:tabs>
        <w:ind w:left="2126" w:hanging="595"/>
      </w:pPr>
      <w:rPr>
        <w:rFonts w:ascii="Times New Roman" w:hAnsi="Times New Roman" w:cs="Times New Roman" w:hint="eastAsia"/>
      </w:rPr>
    </w:lvl>
    <w:lvl w:ilvl="4">
      <w:start w:val="1"/>
      <w:numFmt w:val="upperLetter"/>
      <w:suff w:val="space"/>
      <w:lvlText w:val="%5."/>
      <w:lvlJc w:val="left"/>
      <w:pPr>
        <w:ind w:left="2041" w:firstLine="170"/>
      </w:pPr>
      <w:rPr>
        <w:rFonts w:ascii="Times New Roman" w:hAnsi="Times New Roman" w:cs="Times New Roman" w:hint="eastAsia"/>
      </w:rPr>
    </w:lvl>
    <w:lvl w:ilvl="5">
      <w:start w:val="1"/>
      <w:numFmt w:val="lowerLetter"/>
      <w:suff w:val="space"/>
      <w:lvlText w:val="%6."/>
      <w:lvlJc w:val="left"/>
      <w:pPr>
        <w:ind w:left="2892" w:hanging="284"/>
      </w:pPr>
      <w:rPr>
        <w:rFonts w:ascii="Times New Roman" w:hAnsi="Times New Roman" w:cs="Times New Roman" w:hint="eastAsia"/>
      </w:rPr>
    </w:lvl>
    <w:lvl w:ilvl="6">
      <w:start w:val="1"/>
      <w:numFmt w:val="decimal"/>
      <w:lvlText w:val="(%7)"/>
      <w:lvlJc w:val="left"/>
      <w:pPr>
        <w:tabs>
          <w:tab w:val="num" w:pos="3827"/>
        </w:tabs>
        <w:ind w:left="3827" w:hanging="1276"/>
      </w:pPr>
      <w:rPr>
        <w:rFonts w:ascii="Times New Roman" w:hAnsi="Times New Roman" w:cs="Times New Roman" w:hint="eastAsia"/>
      </w:rPr>
    </w:lvl>
    <w:lvl w:ilvl="7">
      <w:start w:val="1"/>
      <w:numFmt w:val="lowerLetter"/>
      <w:lvlText w:val="%8."/>
      <w:lvlJc w:val="left"/>
      <w:pPr>
        <w:tabs>
          <w:tab w:val="num" w:pos="4394"/>
        </w:tabs>
        <w:ind w:left="4394" w:hanging="1418"/>
      </w:pPr>
      <w:rPr>
        <w:rFonts w:ascii="Times New Roman" w:hAnsi="Times New Roman" w:cs="Times New Roman" w:hint="eastAsia"/>
      </w:rPr>
    </w:lvl>
    <w:lvl w:ilvl="8">
      <w:start w:val="1"/>
      <w:numFmt w:val="lowerLetter"/>
      <w:lvlText w:val="%9)"/>
      <w:lvlJc w:val="left"/>
      <w:pPr>
        <w:tabs>
          <w:tab w:val="num" w:pos="5102"/>
        </w:tabs>
        <w:ind w:left="5102" w:hanging="1700"/>
      </w:pPr>
      <w:rPr>
        <w:rFonts w:ascii="Times New Roman" w:hAnsi="Times New Roman" w:cs="Times New Roman" w:hint="eastAsia"/>
      </w:rPr>
    </w:lvl>
  </w:abstractNum>
  <w:abstractNum w:abstractNumId="2" w15:restartNumberingAfterBreak="0">
    <w:nsid w:val="700F3511"/>
    <w:multiLevelType w:val="multilevel"/>
    <w:tmpl w:val="0B80AF70"/>
    <w:lvl w:ilvl="0">
      <w:start w:val="4"/>
      <w:numFmt w:val="aiueo"/>
      <w:lvlText w:val="%1、"/>
      <w:legacy w:legacy="1" w:legacySpace="0" w:legacyIndent="539"/>
      <w:lvlJc w:val="left"/>
      <w:pPr>
        <w:ind w:left="539" w:hanging="539"/>
      </w:pPr>
      <w:rPr>
        <w:rFonts w:ascii="Times New Roman" w:hAnsi="Times New Roman" w:cs="Times New Roman"/>
      </w:rPr>
    </w:lvl>
    <w:lvl w:ilvl="1">
      <w:start w:val="1"/>
      <w:numFmt w:val="aiueo"/>
      <w:lvlText w:val="(%2)"/>
      <w:legacy w:legacy="1" w:legacySpace="0" w:legacyIndent="624"/>
      <w:lvlJc w:val="left"/>
      <w:pPr>
        <w:ind w:left="1163" w:hanging="624"/>
      </w:pPr>
      <w:rPr>
        <w:rFonts w:ascii="Times New Roman" w:hAnsi="Times New Roman" w:cs="Times New Roman"/>
      </w:rPr>
    </w:lvl>
    <w:lvl w:ilvl="2">
      <w:start w:val="1"/>
      <w:numFmt w:val="decimal"/>
      <w:lvlText w:val="%3."/>
      <w:legacy w:legacy="1" w:legacySpace="0" w:legacyIndent="425"/>
      <w:lvlJc w:val="left"/>
      <w:pPr>
        <w:ind w:left="1588" w:hanging="425"/>
      </w:pPr>
      <w:rPr>
        <w:rFonts w:ascii="Times New Roman" w:hAnsi="Times New Roman" w:cs="Times New Roman"/>
      </w:rPr>
    </w:lvl>
    <w:lvl w:ilvl="3">
      <w:start w:val="1"/>
      <w:numFmt w:val="decimal"/>
      <w:lvlText w:val="%4)"/>
      <w:legacy w:legacy="1" w:legacySpace="0" w:legacyIndent="425"/>
      <w:lvlJc w:val="left"/>
      <w:pPr>
        <w:ind w:left="2013" w:hanging="425"/>
      </w:pPr>
      <w:rPr>
        <w:rFonts w:ascii="Times New Roman" w:hAnsi="Times New Roman" w:cs="Times New Roman"/>
      </w:rPr>
    </w:lvl>
    <w:lvl w:ilvl="4">
      <w:start w:val="1"/>
      <w:numFmt w:val="decimal"/>
      <w:lvlText w:val="(%5)"/>
      <w:legacy w:legacy="1" w:legacySpace="0" w:legacyIndent="425"/>
      <w:lvlJc w:val="left"/>
      <w:pPr>
        <w:ind w:left="2438" w:hanging="425"/>
      </w:pPr>
      <w:rPr>
        <w:rFonts w:ascii="Times New Roman" w:hAnsi="Times New Roman" w:cs="Times New Roman"/>
      </w:rPr>
    </w:lvl>
    <w:lvl w:ilvl="5">
      <w:start w:val="1"/>
      <w:numFmt w:val="lowerLetter"/>
      <w:lvlText w:val="%6."/>
      <w:legacy w:legacy="1" w:legacySpace="0" w:legacyIndent="425"/>
      <w:lvlJc w:val="left"/>
      <w:pPr>
        <w:ind w:left="2863" w:hanging="425"/>
      </w:pPr>
      <w:rPr>
        <w:rFonts w:ascii="Times New Roman" w:hAnsi="Times New Roman" w:cs="Times New Roman"/>
      </w:rPr>
    </w:lvl>
    <w:lvl w:ilvl="6">
      <w:start w:val="1"/>
      <w:numFmt w:val="lowerLetter"/>
      <w:lvlText w:val="%7)"/>
      <w:legacy w:legacy="1" w:legacySpace="0" w:legacyIndent="425"/>
      <w:lvlJc w:val="left"/>
      <w:pPr>
        <w:ind w:left="3288" w:hanging="425"/>
      </w:pPr>
      <w:rPr>
        <w:rFonts w:ascii="Times New Roman" w:hAnsi="Times New Roman" w:cs="Times New Roman"/>
      </w:rPr>
    </w:lvl>
    <w:lvl w:ilvl="7">
      <w:start w:val="1"/>
      <w:numFmt w:val="lowerRoman"/>
      <w:lvlText w:val="(%8)"/>
      <w:legacy w:legacy="1" w:legacySpace="0" w:legacyIndent="425"/>
      <w:lvlJc w:val="left"/>
      <w:pPr>
        <w:ind w:left="3713" w:hanging="425"/>
      </w:pPr>
      <w:rPr>
        <w:rFonts w:ascii="Times New Roman" w:hAnsi="Times New Roman" w:cs="Times New Roman"/>
      </w:rPr>
    </w:lvl>
    <w:lvl w:ilvl="8">
      <w:start w:val="1"/>
      <w:numFmt w:val="lowerRoman"/>
      <w:lvlText w:val="%9"/>
      <w:legacy w:legacy="1" w:legacySpace="0" w:legacyIndent="425"/>
      <w:lvlJc w:val="left"/>
      <w:pPr>
        <w:ind w:left="4138" w:hanging="425"/>
      </w:pPr>
      <w:rPr>
        <w:rFonts w:ascii="Times New Roman" w:hAnsi="Times New Roman" w:cs="Times New Roman"/>
      </w:rPr>
    </w:lvl>
  </w:abstractNum>
  <w:abstractNum w:abstractNumId="3" w15:restartNumberingAfterBreak="0">
    <w:nsid w:val="7FF95978"/>
    <w:multiLevelType w:val="multilevel"/>
    <w:tmpl w:val="B0F8CF82"/>
    <w:lvl w:ilvl="0">
      <w:start w:val="4"/>
      <w:numFmt w:val="taiwaneseCountingThousand"/>
      <w:suff w:val="nothing"/>
      <w:lvlText w:val="%1、"/>
      <w:lvlJc w:val="left"/>
      <w:pPr>
        <w:ind w:left="454" w:hanging="454"/>
      </w:pPr>
      <w:rPr>
        <w:rFonts w:ascii="Times New Roman" w:hAnsi="Times New Roman" w:cs="Times New Roman" w:hint="eastAsia"/>
        <w:sz w:val="20"/>
        <w:szCs w:val="20"/>
      </w:rPr>
    </w:lvl>
    <w:lvl w:ilvl="1">
      <w:start w:val="1"/>
      <w:numFmt w:val="taiwaneseCountingThousand"/>
      <w:suff w:val="nothing"/>
      <w:lvlText w:val="(%2)"/>
      <w:lvlJc w:val="left"/>
      <w:pPr>
        <w:ind w:left="947" w:hanging="380"/>
      </w:pPr>
      <w:rPr>
        <w:rFonts w:ascii="Times New Roman" w:hAnsi="Times New Roman" w:cs="Times New Roman" w:hint="eastAsia"/>
      </w:rPr>
    </w:lvl>
    <w:lvl w:ilvl="2">
      <w:start w:val="1"/>
      <w:numFmt w:val="decimal"/>
      <w:suff w:val="nothing"/>
      <w:lvlText w:val="%3."/>
      <w:lvlJc w:val="left"/>
      <w:pPr>
        <w:ind w:left="1304" w:hanging="170"/>
      </w:pPr>
      <w:rPr>
        <w:rFonts w:ascii="Times New Roman" w:hAnsi="Times New Roman" w:cs="Times New Roman" w:hint="eastAsia"/>
        <w:color w:val="FF0000"/>
        <w:u w:val="single"/>
      </w:rPr>
    </w:lvl>
    <w:lvl w:ilvl="3">
      <w:start w:val="1"/>
      <w:numFmt w:val="taiwaneseCountingThousand"/>
      <w:suff w:val="nothing"/>
      <w:lvlText w:val="%4、"/>
      <w:lvlJc w:val="left"/>
      <w:pPr>
        <w:ind w:left="1984" w:hanging="708"/>
      </w:pPr>
      <w:rPr>
        <w:rFonts w:ascii="Times New Roman" w:hAnsi="Times New Roman" w:cs="Times New Roman" w:hint="eastAsia"/>
      </w:rPr>
    </w:lvl>
    <w:lvl w:ilvl="4">
      <w:start w:val="1"/>
      <w:numFmt w:val="decimal"/>
      <w:lvlText w:val="%5."/>
      <w:lvlJc w:val="left"/>
      <w:pPr>
        <w:tabs>
          <w:tab w:val="num" w:pos="2551"/>
        </w:tabs>
        <w:ind w:left="2551" w:hanging="850"/>
      </w:pPr>
      <w:rPr>
        <w:rFonts w:ascii="Times New Roman" w:hAnsi="Times New Roman" w:cs="Times New Roman" w:hint="eastAsia"/>
      </w:rPr>
    </w:lvl>
    <w:lvl w:ilvl="5">
      <w:start w:val="1"/>
      <w:numFmt w:val="decimal"/>
      <w:lvlText w:val="%6)"/>
      <w:lvlJc w:val="left"/>
      <w:pPr>
        <w:tabs>
          <w:tab w:val="num" w:pos="3260"/>
        </w:tabs>
        <w:ind w:left="3260" w:hanging="1134"/>
      </w:pPr>
      <w:rPr>
        <w:rFonts w:ascii="Times New Roman" w:hAnsi="Times New Roman" w:cs="Times New Roman" w:hint="eastAsia"/>
      </w:rPr>
    </w:lvl>
    <w:lvl w:ilvl="6">
      <w:start w:val="1"/>
      <w:numFmt w:val="decimal"/>
      <w:lvlText w:val="(%7)"/>
      <w:lvlJc w:val="left"/>
      <w:pPr>
        <w:tabs>
          <w:tab w:val="num" w:pos="3827"/>
        </w:tabs>
        <w:ind w:left="3827" w:hanging="1276"/>
      </w:pPr>
      <w:rPr>
        <w:rFonts w:ascii="Times New Roman" w:hAnsi="Times New Roman" w:cs="Times New Roman" w:hint="eastAsia"/>
      </w:rPr>
    </w:lvl>
    <w:lvl w:ilvl="7">
      <w:start w:val="1"/>
      <w:numFmt w:val="lowerLetter"/>
      <w:lvlText w:val="%8."/>
      <w:lvlJc w:val="left"/>
      <w:pPr>
        <w:tabs>
          <w:tab w:val="num" w:pos="4394"/>
        </w:tabs>
        <w:ind w:left="4394" w:hanging="1418"/>
      </w:pPr>
      <w:rPr>
        <w:rFonts w:ascii="Times New Roman" w:hAnsi="Times New Roman" w:cs="Times New Roman" w:hint="eastAsia"/>
      </w:rPr>
    </w:lvl>
    <w:lvl w:ilvl="8">
      <w:start w:val="1"/>
      <w:numFmt w:val="lowerLetter"/>
      <w:lvlText w:val="%9)"/>
      <w:lvlJc w:val="left"/>
      <w:pPr>
        <w:tabs>
          <w:tab w:val="num" w:pos="5102"/>
        </w:tabs>
        <w:ind w:left="5102" w:hanging="1700"/>
      </w:pPr>
      <w:rPr>
        <w:rFonts w:ascii="Times New Roman" w:hAnsi="Times New Roman" w:cs="Times New Roman" w:hint="eastAsia"/>
      </w:r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clean"/>
  <w:defaultTabStop w:val="480"/>
  <w:doNotHyphenateCaps/>
  <w:drawingGridHorizontalSpacing w:val="120"/>
  <w:drawingGridVerticalSpacing w:val="163"/>
  <w:displayHorizontalDrawingGridEvery w:val="0"/>
  <w:displayVerticalDrawingGridEvery w:val="2"/>
  <w:characterSpacingControl w:val="compressPunctuation"/>
  <w:noLineBreaksAfter w:lang="zh-TW" w:val="([{‘“‵〈《「『【〔〝︵︷︹︻︽︿﹁﹃﹙﹛﹝（｛"/>
  <w:noLineBreaksBefore w:lang="zh-TW" w:val="!),.:;?]}·–—’”‥…‧′╴、。〉》」』】〕〞︰︱︳︴︶︸︺︼︾﹀﹂﹄﹏﹐﹑﹒﹔﹕﹖﹗﹚﹜﹞！），．：；？｜｝"/>
  <w:savePreviewPicture/>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2622"/>
    <w:rsid w:val="00012AC5"/>
    <w:rsid w:val="00016126"/>
    <w:rsid w:val="00017FCC"/>
    <w:rsid w:val="00027986"/>
    <w:rsid w:val="00034C49"/>
    <w:rsid w:val="000445FE"/>
    <w:rsid w:val="0007168D"/>
    <w:rsid w:val="000F32AF"/>
    <w:rsid w:val="001065BB"/>
    <w:rsid w:val="00131664"/>
    <w:rsid w:val="00133BA0"/>
    <w:rsid w:val="00171898"/>
    <w:rsid w:val="001C798E"/>
    <w:rsid w:val="001E5DEC"/>
    <w:rsid w:val="002320CD"/>
    <w:rsid w:val="002A483C"/>
    <w:rsid w:val="002E1ED6"/>
    <w:rsid w:val="002E4DA4"/>
    <w:rsid w:val="003011E2"/>
    <w:rsid w:val="003226A7"/>
    <w:rsid w:val="00362F88"/>
    <w:rsid w:val="003A0887"/>
    <w:rsid w:val="00404164"/>
    <w:rsid w:val="00445E9A"/>
    <w:rsid w:val="004D197A"/>
    <w:rsid w:val="004F2206"/>
    <w:rsid w:val="00517A7D"/>
    <w:rsid w:val="00577716"/>
    <w:rsid w:val="005C3957"/>
    <w:rsid w:val="005F3310"/>
    <w:rsid w:val="006022CC"/>
    <w:rsid w:val="006059E4"/>
    <w:rsid w:val="00605E3C"/>
    <w:rsid w:val="006276AC"/>
    <w:rsid w:val="00630305"/>
    <w:rsid w:val="006337BC"/>
    <w:rsid w:val="006356EC"/>
    <w:rsid w:val="00673AD1"/>
    <w:rsid w:val="00685B40"/>
    <w:rsid w:val="006E7AFD"/>
    <w:rsid w:val="006F4042"/>
    <w:rsid w:val="007111CB"/>
    <w:rsid w:val="00712DCD"/>
    <w:rsid w:val="00742A12"/>
    <w:rsid w:val="007D0DF6"/>
    <w:rsid w:val="008345E6"/>
    <w:rsid w:val="00856563"/>
    <w:rsid w:val="008813B2"/>
    <w:rsid w:val="00883292"/>
    <w:rsid w:val="008E33A4"/>
    <w:rsid w:val="00930832"/>
    <w:rsid w:val="00951A80"/>
    <w:rsid w:val="009932CD"/>
    <w:rsid w:val="009D7420"/>
    <w:rsid w:val="00A51863"/>
    <w:rsid w:val="00A85022"/>
    <w:rsid w:val="00AC48D1"/>
    <w:rsid w:val="00AC6240"/>
    <w:rsid w:val="00AD7279"/>
    <w:rsid w:val="00AE3639"/>
    <w:rsid w:val="00AF13E4"/>
    <w:rsid w:val="00AF3104"/>
    <w:rsid w:val="00B83125"/>
    <w:rsid w:val="00B87DD4"/>
    <w:rsid w:val="00B94C78"/>
    <w:rsid w:val="00BA0D8E"/>
    <w:rsid w:val="00BA184C"/>
    <w:rsid w:val="00BD7AC5"/>
    <w:rsid w:val="00C24A36"/>
    <w:rsid w:val="00CC578B"/>
    <w:rsid w:val="00CE0581"/>
    <w:rsid w:val="00D04CA2"/>
    <w:rsid w:val="00D23DC0"/>
    <w:rsid w:val="00D62C8C"/>
    <w:rsid w:val="00D730DC"/>
    <w:rsid w:val="00D95B71"/>
    <w:rsid w:val="00E25CAD"/>
    <w:rsid w:val="00E54512"/>
    <w:rsid w:val="00E60BCE"/>
    <w:rsid w:val="00E92A63"/>
    <w:rsid w:val="00EC0239"/>
    <w:rsid w:val="00F01D60"/>
    <w:rsid w:val="00F02DBD"/>
    <w:rsid w:val="00F2306A"/>
    <w:rsid w:val="00F64273"/>
    <w:rsid w:val="00F805AB"/>
    <w:rsid w:val="00FA6A6B"/>
    <w:rsid w:val="00FC2622"/>
    <w:rsid w:val="00FD10C4"/>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979E2F2"/>
  <w14:defaultImageDpi w14:val="0"/>
  <w15:docId w15:val="{363E3594-CB52-4996-9189-4639807E0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imes New Roman"/>
        <w:kern w:val="2"/>
        <w:sz w:val="24"/>
        <w:szCs w:val="24"/>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header" w:semiHidden="1"/>
    <w:lsdException w:name="footer" w:semiHidden="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djustRightInd w:val="0"/>
      <w:spacing w:line="360" w:lineRule="atLeast"/>
      <w:textAlignment w:val="baseline"/>
    </w:pPr>
    <w:rPr>
      <w:rFonts w:ascii="Times New Roman" w:eastAsia="新細明體" w:hAnsi="Times New Roman"/>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153"/>
        <w:tab w:val="right" w:pos="8306"/>
      </w:tabs>
      <w:snapToGrid w:val="0"/>
    </w:pPr>
    <w:rPr>
      <w:sz w:val="20"/>
      <w:szCs w:val="20"/>
    </w:rPr>
  </w:style>
  <w:style w:type="character" w:customStyle="1" w:styleId="a4">
    <w:name w:val="頁首 字元"/>
    <w:basedOn w:val="a0"/>
    <w:link w:val="a3"/>
    <w:uiPriority w:val="99"/>
    <w:locked/>
    <w:rPr>
      <w:rFonts w:ascii="Times New Roman" w:eastAsia="新細明體" w:hAnsi="Times New Roman" w:cs="Times New Roman"/>
      <w:kern w:val="0"/>
      <w:sz w:val="20"/>
      <w:szCs w:val="20"/>
    </w:rPr>
  </w:style>
  <w:style w:type="paragraph" w:styleId="a5">
    <w:name w:val="footer"/>
    <w:basedOn w:val="a"/>
    <w:link w:val="a6"/>
    <w:uiPriority w:val="99"/>
    <w:pPr>
      <w:tabs>
        <w:tab w:val="center" w:pos="4153"/>
        <w:tab w:val="right" w:pos="8306"/>
      </w:tabs>
      <w:snapToGrid w:val="0"/>
    </w:pPr>
    <w:rPr>
      <w:sz w:val="20"/>
      <w:szCs w:val="20"/>
    </w:rPr>
  </w:style>
  <w:style w:type="character" w:customStyle="1" w:styleId="a6">
    <w:name w:val="頁尾 字元"/>
    <w:basedOn w:val="a0"/>
    <w:link w:val="a5"/>
    <w:uiPriority w:val="99"/>
    <w:locked/>
    <w:rPr>
      <w:rFonts w:ascii="Times New Roman" w:eastAsia="新細明體" w:hAnsi="Times New Roman" w:cs="Times New Roman"/>
      <w:kern w:val="0"/>
      <w:sz w:val="20"/>
      <w:szCs w:val="20"/>
    </w:rPr>
  </w:style>
  <w:style w:type="paragraph" w:styleId="a7">
    <w:name w:val="List Paragraph"/>
    <w:basedOn w:val="a"/>
    <w:uiPriority w:val="34"/>
    <w:qFormat/>
    <w:rsid w:val="004D197A"/>
    <w:pPr>
      <w:ind w:leftChars="200" w:left="480"/>
    </w:pPr>
  </w:style>
  <w:style w:type="paragraph" w:styleId="a8">
    <w:name w:val="Salutation"/>
    <w:basedOn w:val="a"/>
    <w:next w:val="a"/>
    <w:link w:val="a9"/>
    <w:uiPriority w:val="99"/>
    <w:unhideWhenUsed/>
    <w:rsid w:val="00AC6240"/>
    <w:rPr>
      <w:rFonts w:ascii="新細明體" w:hAnsi="新細明體" w:cs="新細明體"/>
      <w:spacing w:val="-4"/>
      <w:sz w:val="20"/>
      <w:szCs w:val="20"/>
    </w:rPr>
  </w:style>
  <w:style w:type="character" w:customStyle="1" w:styleId="a9">
    <w:name w:val="問候 字元"/>
    <w:basedOn w:val="a0"/>
    <w:link w:val="a8"/>
    <w:uiPriority w:val="99"/>
    <w:rsid w:val="00AC6240"/>
    <w:rPr>
      <w:rFonts w:ascii="新細明體" w:eastAsia="新細明體" w:hAnsi="新細明體" w:cs="新細明體"/>
      <w:spacing w:val="-4"/>
      <w:kern w:val="0"/>
      <w:sz w:val="20"/>
      <w:szCs w:val="20"/>
    </w:rPr>
  </w:style>
  <w:style w:type="paragraph" w:styleId="aa">
    <w:name w:val="Closing"/>
    <w:basedOn w:val="a"/>
    <w:link w:val="ab"/>
    <w:uiPriority w:val="99"/>
    <w:rsid w:val="00AC6240"/>
    <w:pPr>
      <w:ind w:leftChars="1800" w:left="100"/>
    </w:pPr>
    <w:rPr>
      <w:rFonts w:ascii="新細明體" w:hAnsi="新細明體" w:cs="新細明體"/>
      <w:spacing w:val="-4"/>
      <w:sz w:val="20"/>
      <w:szCs w:val="20"/>
    </w:rPr>
  </w:style>
  <w:style w:type="character" w:customStyle="1" w:styleId="ab">
    <w:name w:val="結語 字元"/>
    <w:basedOn w:val="a0"/>
    <w:link w:val="aa"/>
    <w:uiPriority w:val="99"/>
    <w:rsid w:val="00AC6240"/>
    <w:rPr>
      <w:rFonts w:ascii="新細明體" w:eastAsia="新細明體" w:hAnsi="新細明體" w:cs="新細明體"/>
      <w:spacing w:val="-4"/>
      <w:kern w:val="0"/>
      <w:sz w:val="20"/>
      <w:szCs w:val="20"/>
    </w:rPr>
  </w:style>
  <w:style w:type="paragraph" w:styleId="ac">
    <w:name w:val="Balloon Text"/>
    <w:basedOn w:val="a"/>
    <w:link w:val="ad"/>
    <w:uiPriority w:val="99"/>
    <w:rsid w:val="00362F88"/>
    <w:pPr>
      <w:spacing w:line="240" w:lineRule="auto"/>
    </w:pPr>
    <w:rPr>
      <w:rFonts w:asciiTheme="majorHAnsi" w:eastAsiaTheme="majorEastAsia" w:hAnsiTheme="majorHAnsi" w:cstheme="majorBidi"/>
      <w:sz w:val="18"/>
      <w:szCs w:val="18"/>
    </w:rPr>
  </w:style>
  <w:style w:type="character" w:customStyle="1" w:styleId="ad">
    <w:name w:val="註解方塊文字 字元"/>
    <w:basedOn w:val="a0"/>
    <w:link w:val="ac"/>
    <w:uiPriority w:val="99"/>
    <w:rsid w:val="00362F88"/>
    <w:rPr>
      <w:rFonts w:asciiTheme="majorHAnsi" w:eastAsiaTheme="majorEastAsia" w:hAnsiTheme="majorHAnsi" w:cstheme="majorBidi"/>
      <w:kern w:val="0"/>
      <w:sz w:val="18"/>
      <w:szCs w:val="18"/>
    </w:rPr>
  </w:style>
  <w:style w:type="character" w:styleId="ae">
    <w:name w:val="annotation reference"/>
    <w:basedOn w:val="a0"/>
    <w:uiPriority w:val="99"/>
    <w:rsid w:val="006022CC"/>
    <w:rPr>
      <w:sz w:val="18"/>
      <w:szCs w:val="18"/>
    </w:rPr>
  </w:style>
  <w:style w:type="paragraph" w:styleId="af">
    <w:name w:val="annotation text"/>
    <w:basedOn w:val="a"/>
    <w:link w:val="af0"/>
    <w:uiPriority w:val="99"/>
    <w:rsid w:val="006022CC"/>
  </w:style>
  <w:style w:type="character" w:customStyle="1" w:styleId="af0">
    <w:name w:val="註解文字 字元"/>
    <w:basedOn w:val="a0"/>
    <w:link w:val="af"/>
    <w:uiPriority w:val="99"/>
    <w:rsid w:val="006022CC"/>
    <w:rPr>
      <w:rFonts w:ascii="Times New Roman" w:eastAsia="新細明體" w:hAnsi="Times New Roman"/>
      <w:kern w:val="0"/>
    </w:rPr>
  </w:style>
  <w:style w:type="paragraph" w:styleId="af1">
    <w:name w:val="annotation subject"/>
    <w:basedOn w:val="af"/>
    <w:next w:val="af"/>
    <w:link w:val="af2"/>
    <w:uiPriority w:val="99"/>
    <w:rsid w:val="006022CC"/>
    <w:rPr>
      <w:b/>
      <w:bCs/>
    </w:rPr>
  </w:style>
  <w:style w:type="character" w:customStyle="1" w:styleId="af2">
    <w:name w:val="註解主旨 字元"/>
    <w:basedOn w:val="af0"/>
    <w:link w:val="af1"/>
    <w:uiPriority w:val="99"/>
    <w:rsid w:val="006022CC"/>
    <w:rPr>
      <w:rFonts w:ascii="Times New Roman" w:eastAsia="新細明體" w:hAnsi="Times New Roman"/>
      <w:b/>
      <w:bCs/>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0CB5BB-C4D7-46C7-B07A-6E08115A6E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208</TotalTime>
  <Pages>2</Pages>
  <Words>217</Words>
  <Characters>1238</Characters>
  <Application>Microsoft Office Word</Application>
  <DocSecurity>0</DocSecurity>
  <Lines>10</Lines>
  <Paragraphs>2</Paragraphs>
  <ScaleCrop>false</ScaleCrop>
  <Company>證交所</Company>
  <LinksUpToDate>false</LinksUpToDate>
  <CharactersWithSpaces>1453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項     目_</dc:title>
  <dc:subject/>
  <dc:creator>TSE1</dc:creator>
  <cp:keywords/>
  <dc:description/>
  <cp:lastModifiedBy>張西銘</cp:lastModifiedBy>
  <cp:revision>19</cp:revision>
  <cp:lastPrinted>2019-06-06T08:30:00Z</cp:lastPrinted>
  <dcterms:created xsi:type="dcterms:W3CDTF">2020-03-11T02:36:00Z</dcterms:created>
  <dcterms:modified xsi:type="dcterms:W3CDTF">2022-09-15T00:33:00Z</dcterms:modified>
</cp:coreProperties>
</file>